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2C" w:rsidRDefault="00AB472C" w:rsidP="00AA60AC"/>
    <w:tbl>
      <w:tblPr>
        <w:tblpPr w:leftFromText="180" w:rightFromText="180" w:vertAnchor="page" w:horzAnchor="margin" w:tblpY="413"/>
        <w:tblW w:w="0" w:type="auto"/>
        <w:tblLayout w:type="fixed"/>
        <w:tblLook w:val="0000"/>
      </w:tblPr>
      <w:tblGrid>
        <w:gridCol w:w="4046"/>
        <w:gridCol w:w="1770"/>
        <w:gridCol w:w="3804"/>
      </w:tblGrid>
      <w:tr w:rsidR="00AB472C" w:rsidTr="00B005C8">
        <w:trPr>
          <w:cantSplit/>
          <w:trHeight w:val="1760"/>
        </w:trPr>
        <w:tc>
          <w:tcPr>
            <w:tcW w:w="4046"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tcPr>
          <w:p w:rsidR="00AB472C" w:rsidRDefault="00AB472C" w:rsidP="00B005C8">
            <w:pPr>
              <w:pStyle w:val="1"/>
              <w:tabs>
                <w:tab w:val="center" w:pos="4677"/>
                <w:tab w:val="right" w:pos="9355"/>
              </w:tabs>
              <w:ind w:firstLine="0"/>
              <w:jc w:val="center"/>
              <w:rPr>
                <w:rFonts w:ascii="Calibri Bold" w:hAnsi="Calibri Bold"/>
                <w:sz w:val="20"/>
              </w:rPr>
            </w:pPr>
            <w:r>
              <w:rPr>
                <w:rFonts w:ascii="Calibri Bold" w:hAnsi="Calibri Bold"/>
                <w:sz w:val="22"/>
              </w:rPr>
              <w:t>ДОНЕЦКАЯ НАРОДНАЯ РЕСПУБЛИКА</w:t>
            </w:r>
          </w:p>
          <w:p w:rsidR="00AB472C" w:rsidRDefault="00AB472C" w:rsidP="00B005C8">
            <w:pPr>
              <w:pStyle w:val="1"/>
              <w:tabs>
                <w:tab w:val="center" w:pos="4677"/>
                <w:tab w:val="right" w:pos="9355"/>
              </w:tabs>
              <w:ind w:firstLine="0"/>
              <w:jc w:val="center"/>
            </w:pPr>
          </w:p>
          <w:p w:rsidR="00AB472C" w:rsidRDefault="00AB472C" w:rsidP="00B005C8">
            <w:pPr>
              <w:pStyle w:val="1"/>
              <w:tabs>
                <w:tab w:val="center" w:pos="4677"/>
                <w:tab w:val="right" w:pos="9355"/>
              </w:tabs>
              <w:ind w:firstLine="0"/>
              <w:jc w:val="center"/>
              <w:rPr>
                <w:sz w:val="20"/>
              </w:rPr>
            </w:pPr>
            <w:r>
              <w:rPr>
                <w:rFonts w:ascii="Calibri Bold" w:hAnsi="Calibri Bold"/>
                <w:sz w:val="18"/>
              </w:rPr>
              <w:t>ВЕРХОВНЫЙ СОВЕТ</w:t>
            </w:r>
          </w:p>
          <w:p w:rsidR="00AB472C" w:rsidRDefault="00AB472C" w:rsidP="00B005C8">
            <w:pPr>
              <w:pStyle w:val="1"/>
              <w:tabs>
                <w:tab w:val="center" w:pos="4677"/>
                <w:tab w:val="right" w:pos="9355"/>
              </w:tabs>
              <w:ind w:firstLine="0"/>
              <w:jc w:val="center"/>
              <w:rPr>
                <w:sz w:val="16"/>
              </w:rPr>
            </w:pPr>
            <w:smartTag w:uri="urn:schemas-microsoft-com:office:smarttags" w:element="metricconverter">
              <w:smartTagPr>
                <w:attr w:name="ProductID" w:val="83000, г"/>
              </w:smartTagPr>
              <w:r>
                <w:rPr>
                  <w:sz w:val="16"/>
                </w:rPr>
                <w:t>83000, г</w:t>
              </w:r>
            </w:smartTag>
            <w:r>
              <w:rPr>
                <w:sz w:val="16"/>
              </w:rPr>
              <w:t>. Донецк, бульвар Пушкина, 34</w:t>
            </w:r>
          </w:p>
          <w:p w:rsidR="00AB472C" w:rsidRPr="00707AAB" w:rsidRDefault="00AB472C" w:rsidP="00B005C8">
            <w:pPr>
              <w:pStyle w:val="1"/>
              <w:tabs>
                <w:tab w:val="center" w:pos="4677"/>
                <w:tab w:val="right" w:pos="9355"/>
              </w:tabs>
              <w:ind w:firstLine="0"/>
              <w:jc w:val="center"/>
              <w:rPr>
                <w:sz w:val="16"/>
                <w:lang w:val="en-US"/>
              </w:rPr>
            </w:pPr>
            <w:r>
              <w:rPr>
                <w:sz w:val="16"/>
              </w:rPr>
              <w:t>Тел</w:t>
            </w:r>
            <w:r w:rsidRPr="00707AAB">
              <w:rPr>
                <w:sz w:val="16"/>
                <w:lang w:val="en-US"/>
              </w:rPr>
              <w:t>.: +380 95 203 08 06</w:t>
            </w:r>
          </w:p>
          <w:p w:rsidR="00AB472C" w:rsidRDefault="00AB472C" w:rsidP="00B005C8">
            <w:pPr>
              <w:pStyle w:val="1"/>
              <w:tabs>
                <w:tab w:val="center" w:pos="4677"/>
                <w:tab w:val="right" w:pos="9355"/>
              </w:tabs>
              <w:ind w:firstLine="0"/>
              <w:jc w:val="center"/>
              <w:rPr>
                <w:sz w:val="16"/>
                <w:lang w:val="en-US"/>
              </w:rPr>
            </w:pPr>
            <w:r>
              <w:rPr>
                <w:sz w:val="16"/>
                <w:lang w:val="en-US"/>
              </w:rPr>
              <w:t>E-mail: abvgdasm@gmail.com</w:t>
            </w:r>
          </w:p>
          <w:p w:rsidR="00AB472C" w:rsidRDefault="00AB472C" w:rsidP="00B005C8">
            <w:pPr>
              <w:pStyle w:val="1"/>
              <w:tabs>
                <w:tab w:val="center" w:pos="4677"/>
                <w:tab w:val="right" w:pos="9355"/>
              </w:tabs>
              <w:ind w:firstLine="0"/>
              <w:jc w:val="center"/>
              <w:rPr>
                <w:sz w:val="16"/>
              </w:rPr>
            </w:pPr>
            <w:r>
              <w:rPr>
                <w:sz w:val="16"/>
              </w:rPr>
              <w:t xml:space="preserve">Официальный сайт:  </w:t>
            </w:r>
            <w:r>
              <w:rPr>
                <w:sz w:val="16"/>
                <w:lang w:val="en-US"/>
              </w:rPr>
              <w:t>www</w:t>
            </w:r>
            <w:r>
              <w:rPr>
                <w:sz w:val="16"/>
              </w:rPr>
              <w:t>.</w:t>
            </w:r>
            <w:r>
              <w:rPr>
                <w:sz w:val="16"/>
                <w:lang w:val="en-US"/>
              </w:rPr>
              <w:t>donetsk</w:t>
            </w:r>
            <w:r>
              <w:rPr>
                <w:sz w:val="16"/>
              </w:rPr>
              <w:t>-</w:t>
            </w:r>
            <w:r>
              <w:rPr>
                <w:sz w:val="16"/>
                <w:lang w:val="en-US"/>
              </w:rPr>
              <w:t>gov</w:t>
            </w:r>
            <w:r>
              <w:rPr>
                <w:sz w:val="16"/>
              </w:rPr>
              <w:t>.</w:t>
            </w:r>
            <w:r>
              <w:rPr>
                <w:sz w:val="16"/>
                <w:lang w:val="en-US"/>
              </w:rPr>
              <w:t>su</w:t>
            </w:r>
          </w:p>
          <w:p w:rsidR="00AB472C" w:rsidRDefault="00AB472C" w:rsidP="00B005C8">
            <w:pPr>
              <w:pStyle w:val="1"/>
              <w:tabs>
                <w:tab w:val="center" w:pos="4677"/>
                <w:tab w:val="right" w:pos="9355"/>
              </w:tabs>
              <w:ind w:firstLine="0"/>
              <w:jc w:val="center"/>
              <w:rPr>
                <w:sz w:val="16"/>
              </w:rPr>
            </w:pPr>
            <w:r>
              <w:rPr>
                <w:sz w:val="16"/>
              </w:rPr>
              <w:t>Новостной портал:  www.dnrnovosti.com</w:t>
            </w:r>
          </w:p>
        </w:tc>
        <w:tc>
          <w:tcPr>
            <w:tcW w:w="1770"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tcPr>
          <w:p w:rsidR="00AB472C" w:rsidRDefault="00AB472C" w:rsidP="00B005C8">
            <w:pPr>
              <w:pStyle w:val="1"/>
              <w:tabs>
                <w:tab w:val="center" w:pos="4677"/>
                <w:tab w:val="right" w:pos="9355"/>
              </w:tabs>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1.7pt;margin-top:1.9pt;width:86.8pt;height:86.85pt;z-index:251658240;visibility:visible;mso-position-horizontal-relative:text;mso-position-vertical-relative:text" wrapcoords="2421 0 1117 1676 372 3910 0 5586 -186 6703 0 8566 745 8938 372 9683 1303 13221 4841 14897 8007 14897 7262 16200 6517 17876 6331 19738 7821 20855 10428 21414 11172 21414 13779 20855 15455 19552 15269 17876 13593 14897 16572 14897 20483 13221 21228 9683 21600 6703 21414 5214 20483 1676 19179 0 2421 0">
                  <v:imagedata r:id="rId6" o:title=""/>
                  <w10:wrap type="through"/>
                </v:shape>
              </w:pict>
            </w:r>
          </w:p>
        </w:tc>
        <w:tc>
          <w:tcPr>
            <w:tcW w:w="3804"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tcPr>
          <w:p w:rsidR="00AB472C" w:rsidRDefault="00AB472C" w:rsidP="00B005C8">
            <w:pPr>
              <w:pStyle w:val="1"/>
              <w:tabs>
                <w:tab w:val="center" w:pos="4677"/>
                <w:tab w:val="right" w:pos="9355"/>
              </w:tabs>
              <w:ind w:firstLine="0"/>
              <w:jc w:val="center"/>
              <w:rPr>
                <w:rFonts w:ascii="Calibri Bold" w:hAnsi="Calibri Bold"/>
                <w:sz w:val="22"/>
                <w:lang w:val="en-US"/>
              </w:rPr>
            </w:pPr>
            <w:smartTag w:uri="urn:schemas-microsoft-com:office:smarttags" w:element="place">
              <w:smartTag w:uri="urn:schemas-microsoft-com:office:smarttags" w:element="City">
                <w:r>
                  <w:rPr>
                    <w:rFonts w:ascii="Calibri Bold" w:hAnsi="Calibri Bold"/>
                    <w:sz w:val="22"/>
                    <w:lang w:val="en-US"/>
                  </w:rPr>
                  <w:t>DONETSK</w:t>
                </w:r>
              </w:smartTag>
            </w:smartTag>
            <w:r>
              <w:rPr>
                <w:rFonts w:ascii="Calibri Bold" w:hAnsi="Calibri Bold"/>
                <w:sz w:val="22"/>
                <w:lang w:val="en-US"/>
              </w:rPr>
              <w:t xml:space="preserve">  PEOPLE’S  REPUBLIC</w:t>
            </w:r>
          </w:p>
          <w:p w:rsidR="00AB472C" w:rsidRDefault="00AB472C" w:rsidP="00B005C8">
            <w:pPr>
              <w:pStyle w:val="1"/>
              <w:tabs>
                <w:tab w:val="center" w:pos="4677"/>
                <w:tab w:val="right" w:pos="9355"/>
              </w:tabs>
              <w:ind w:firstLine="0"/>
              <w:jc w:val="center"/>
              <w:rPr>
                <w:rFonts w:ascii="Calibri Bold" w:hAnsi="Calibri Bold"/>
                <w:lang w:val="en-US"/>
              </w:rPr>
            </w:pPr>
          </w:p>
          <w:p w:rsidR="00AB472C" w:rsidRDefault="00AB472C" w:rsidP="00B005C8">
            <w:pPr>
              <w:pStyle w:val="1"/>
              <w:tabs>
                <w:tab w:val="center" w:pos="4677"/>
                <w:tab w:val="right" w:pos="9355"/>
              </w:tabs>
              <w:ind w:firstLine="0"/>
              <w:jc w:val="center"/>
              <w:rPr>
                <w:rFonts w:ascii="Calibri Bold" w:hAnsi="Calibri Bold"/>
                <w:sz w:val="18"/>
                <w:lang w:val="en-US"/>
              </w:rPr>
            </w:pPr>
            <w:r>
              <w:rPr>
                <w:rFonts w:ascii="Calibri Bold" w:hAnsi="Calibri Bold"/>
                <w:sz w:val="18"/>
                <w:lang w:val="en-US"/>
              </w:rPr>
              <w:t xml:space="preserve">  THE SUPREME COUNCIL</w:t>
            </w:r>
          </w:p>
          <w:p w:rsidR="00AB472C" w:rsidRDefault="00AB472C" w:rsidP="00B005C8">
            <w:pPr>
              <w:pStyle w:val="1"/>
              <w:tabs>
                <w:tab w:val="center" w:pos="4677"/>
                <w:tab w:val="right" w:pos="9355"/>
              </w:tabs>
              <w:ind w:firstLine="0"/>
              <w:jc w:val="center"/>
              <w:rPr>
                <w:sz w:val="16"/>
                <w:lang w:val="en-US"/>
              </w:rPr>
            </w:pPr>
            <w:r>
              <w:rPr>
                <w:sz w:val="16"/>
                <w:lang w:val="en-US"/>
              </w:rPr>
              <w:t xml:space="preserve">83000, </w:t>
            </w:r>
            <w:smartTag w:uri="urn:schemas-microsoft-com:office:smarttags" w:element="place">
              <w:smartTag w:uri="urn:schemas-microsoft-com:office:smarttags" w:element="City">
                <w:r>
                  <w:rPr>
                    <w:sz w:val="16"/>
                    <w:lang w:val="en-US"/>
                  </w:rPr>
                  <w:t>Donetsk</w:t>
                </w:r>
              </w:smartTag>
            </w:smartTag>
            <w:r>
              <w:rPr>
                <w:sz w:val="16"/>
                <w:lang w:val="en-US"/>
              </w:rPr>
              <w:t xml:space="preserve">, </w:t>
            </w:r>
            <w:smartTag w:uri="urn:schemas-microsoft-com:office:smarttags" w:element="address">
              <w:smartTag w:uri="urn:schemas-microsoft-com:office:smarttags" w:element="Street">
                <w:r>
                  <w:rPr>
                    <w:sz w:val="16"/>
                    <w:lang w:val="en-US"/>
                  </w:rPr>
                  <w:t>Pushkin Blvd</w:t>
                </w:r>
              </w:smartTag>
            </w:smartTag>
            <w:r>
              <w:rPr>
                <w:sz w:val="16"/>
                <w:lang w:val="en-US"/>
              </w:rPr>
              <w:t>, 34</w:t>
            </w:r>
          </w:p>
          <w:p w:rsidR="00AB472C" w:rsidRDefault="00AB472C" w:rsidP="00B005C8">
            <w:pPr>
              <w:pStyle w:val="1"/>
              <w:tabs>
                <w:tab w:val="center" w:pos="4677"/>
                <w:tab w:val="right" w:pos="9355"/>
              </w:tabs>
              <w:ind w:firstLine="0"/>
              <w:jc w:val="center"/>
              <w:rPr>
                <w:sz w:val="16"/>
                <w:lang w:val="en-US"/>
              </w:rPr>
            </w:pPr>
            <w:r>
              <w:rPr>
                <w:sz w:val="16"/>
                <w:lang w:val="en-US"/>
              </w:rPr>
              <w:t>Tel.: +380 95 203 08 06</w:t>
            </w:r>
          </w:p>
          <w:p w:rsidR="00AB472C" w:rsidRDefault="00AB472C" w:rsidP="00B005C8">
            <w:pPr>
              <w:pStyle w:val="1"/>
              <w:tabs>
                <w:tab w:val="center" w:pos="4677"/>
                <w:tab w:val="right" w:pos="9355"/>
              </w:tabs>
              <w:ind w:firstLine="0"/>
              <w:jc w:val="center"/>
              <w:rPr>
                <w:sz w:val="16"/>
                <w:lang w:val="en-US"/>
              </w:rPr>
            </w:pPr>
            <w:r>
              <w:rPr>
                <w:sz w:val="16"/>
                <w:lang w:val="en-US"/>
              </w:rPr>
              <w:t>E-mail: abvgdasm@gmail.com</w:t>
            </w:r>
          </w:p>
          <w:p w:rsidR="00AB472C" w:rsidRDefault="00AB472C" w:rsidP="00B005C8">
            <w:pPr>
              <w:pStyle w:val="1"/>
              <w:tabs>
                <w:tab w:val="center" w:pos="4677"/>
                <w:tab w:val="right" w:pos="9355"/>
              </w:tabs>
              <w:ind w:firstLine="0"/>
              <w:jc w:val="center"/>
              <w:rPr>
                <w:sz w:val="16"/>
                <w:lang w:val="en-US"/>
              </w:rPr>
            </w:pPr>
            <w:r>
              <w:rPr>
                <w:sz w:val="16"/>
                <w:lang w:val="en-US"/>
              </w:rPr>
              <w:t>Official website:  www.donetsk-gov.su</w:t>
            </w:r>
          </w:p>
          <w:p w:rsidR="00AB472C" w:rsidRDefault="00AB472C" w:rsidP="00B005C8">
            <w:pPr>
              <w:pStyle w:val="1"/>
              <w:tabs>
                <w:tab w:val="center" w:pos="4677"/>
                <w:tab w:val="right" w:pos="9355"/>
              </w:tabs>
              <w:ind w:firstLine="0"/>
              <w:jc w:val="center"/>
              <w:rPr>
                <w:sz w:val="16"/>
                <w:lang w:val="en-US"/>
              </w:rPr>
            </w:pPr>
            <w:r>
              <w:rPr>
                <w:sz w:val="16"/>
                <w:lang w:val="en-US"/>
              </w:rPr>
              <w:t>The news portal:  www.dnrnovosti.com</w:t>
            </w:r>
          </w:p>
        </w:tc>
      </w:tr>
    </w:tbl>
    <w:p w:rsidR="00AB472C" w:rsidRPr="002543F3" w:rsidRDefault="00AB472C" w:rsidP="00AA60AC">
      <w:pPr>
        <w:rPr>
          <w:b/>
        </w:rPr>
      </w:pPr>
    </w:p>
    <w:p w:rsidR="00AB472C" w:rsidRPr="002543F3" w:rsidRDefault="00AB472C" w:rsidP="00AA60AC">
      <w:pPr>
        <w:rPr>
          <w:b/>
        </w:rPr>
      </w:pPr>
    </w:p>
    <w:p w:rsidR="00AB472C" w:rsidRPr="00DE4D7F" w:rsidRDefault="00AB472C" w:rsidP="00AA60AC"/>
    <w:p w:rsidR="00AB472C" w:rsidRPr="00DE4D7F" w:rsidRDefault="00AB472C" w:rsidP="00AA60AC"/>
    <w:p w:rsidR="00AB472C" w:rsidRDefault="00AB472C" w:rsidP="00931AB7">
      <w:pPr>
        <w:ind w:firstLine="708"/>
        <w:rPr>
          <w:b/>
          <w:sz w:val="32"/>
          <w:szCs w:val="32"/>
          <w:lang w:val="ru-RU"/>
        </w:rPr>
      </w:pPr>
      <w:r w:rsidRPr="002D0F76">
        <w:rPr>
          <w:b/>
          <w:sz w:val="32"/>
          <w:szCs w:val="32"/>
          <w:lang w:val="ru-RU"/>
        </w:rPr>
        <w:t xml:space="preserve">                    </w:t>
      </w:r>
      <w:r>
        <w:rPr>
          <w:b/>
          <w:sz w:val="32"/>
          <w:szCs w:val="32"/>
          <w:lang w:val="ru-RU"/>
        </w:rPr>
        <w:t xml:space="preserve">                </w:t>
      </w:r>
    </w:p>
    <w:p w:rsidR="00AB472C" w:rsidRDefault="00AB472C" w:rsidP="00931AB7">
      <w:pPr>
        <w:ind w:firstLine="708"/>
        <w:rPr>
          <w:b/>
          <w:sz w:val="32"/>
          <w:szCs w:val="32"/>
          <w:lang w:val="ru-RU"/>
        </w:rPr>
      </w:pPr>
    </w:p>
    <w:p w:rsidR="00AB472C" w:rsidRPr="002D0F76" w:rsidRDefault="00AB472C" w:rsidP="00931AB7">
      <w:pPr>
        <w:ind w:firstLine="708"/>
        <w:jc w:val="center"/>
        <w:rPr>
          <w:b/>
          <w:sz w:val="32"/>
          <w:szCs w:val="32"/>
          <w:lang w:val="ru-RU"/>
        </w:rPr>
      </w:pPr>
      <w:r>
        <w:rPr>
          <w:b/>
          <w:sz w:val="32"/>
          <w:szCs w:val="32"/>
          <w:lang w:val="ru-RU"/>
        </w:rPr>
        <w:t xml:space="preserve">ПРОЕКТ </w:t>
      </w:r>
      <w:r w:rsidRPr="002D0F76">
        <w:rPr>
          <w:b/>
          <w:sz w:val="32"/>
          <w:szCs w:val="32"/>
          <w:lang w:val="ru-RU"/>
        </w:rPr>
        <w:t xml:space="preserve"> ЗАКОН</w:t>
      </w:r>
      <w:r>
        <w:rPr>
          <w:b/>
          <w:sz w:val="32"/>
          <w:szCs w:val="32"/>
          <w:lang w:val="ru-RU"/>
        </w:rPr>
        <w:t>А</w:t>
      </w:r>
    </w:p>
    <w:p w:rsidR="00AB472C" w:rsidRPr="002D0F76" w:rsidRDefault="00AB472C" w:rsidP="00DE4D7F">
      <w:pPr>
        <w:tabs>
          <w:tab w:val="left" w:pos="7520"/>
        </w:tabs>
        <w:ind w:firstLine="708"/>
        <w:jc w:val="center"/>
        <w:rPr>
          <w:b/>
          <w:sz w:val="32"/>
          <w:szCs w:val="32"/>
          <w:lang w:val="ru-RU"/>
        </w:rPr>
      </w:pPr>
      <w:r w:rsidRPr="002D0F76">
        <w:rPr>
          <w:b/>
          <w:sz w:val="32"/>
          <w:szCs w:val="32"/>
          <w:lang w:val="ru-RU"/>
        </w:rPr>
        <w:t>о неотложных  мерах  социальной защиты граждан, проживающих на территории Донецкой Народной Республики в условиях агрессии Вооруженных Сил и вооруженных формирований Украины.</w:t>
      </w:r>
    </w:p>
    <w:p w:rsidR="00AB472C" w:rsidRPr="002D0F76" w:rsidRDefault="00AB472C" w:rsidP="00AA60AC">
      <w:pPr>
        <w:tabs>
          <w:tab w:val="left" w:pos="7520"/>
        </w:tabs>
        <w:ind w:firstLine="708"/>
        <w:rPr>
          <w:sz w:val="32"/>
          <w:szCs w:val="32"/>
          <w:lang w:val="ru-RU"/>
        </w:rPr>
      </w:pPr>
    </w:p>
    <w:p w:rsidR="00AB472C" w:rsidRPr="002D0F76" w:rsidRDefault="00AB472C" w:rsidP="00AA60AC">
      <w:pPr>
        <w:tabs>
          <w:tab w:val="left" w:pos="7520"/>
        </w:tabs>
        <w:ind w:firstLine="708"/>
        <w:rPr>
          <w:b/>
          <w:sz w:val="32"/>
          <w:szCs w:val="32"/>
          <w:lang w:val="ru-RU"/>
        </w:rPr>
      </w:pPr>
      <w:r w:rsidRPr="002D0F76">
        <w:rPr>
          <w:b/>
          <w:sz w:val="32"/>
          <w:szCs w:val="32"/>
          <w:lang w:val="ru-RU"/>
        </w:rPr>
        <w:t>Статья 1.</w:t>
      </w:r>
    </w:p>
    <w:p w:rsidR="00AB472C" w:rsidRPr="002D0F76" w:rsidRDefault="00AB472C" w:rsidP="00DE4D7F">
      <w:pPr>
        <w:tabs>
          <w:tab w:val="left" w:pos="7520"/>
        </w:tabs>
        <w:ind w:firstLine="708"/>
        <w:jc w:val="both"/>
        <w:rPr>
          <w:sz w:val="32"/>
          <w:szCs w:val="32"/>
          <w:lang w:val="ru-RU"/>
        </w:rPr>
      </w:pPr>
      <w:r w:rsidRPr="002D0F76">
        <w:rPr>
          <w:sz w:val="32"/>
          <w:szCs w:val="32"/>
          <w:lang w:val="ru-RU"/>
        </w:rPr>
        <w:t>Установить единовременные компенсации за вред жизни и здоровью граждан,  причинённые в результате агрессии Вооруженных Сил и вооруженных формирований Украины против мирных граждан в Донецкой Народной Республике в период с 13 апреля 2014г. в следующих размерах:</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а) семьям погибших (умерших)  в результате агрессии и Вооруженных Сил и вооруженных формирований Украины против мирных граждан из числа гражданского населения – 250 000грн;</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 xml:space="preserve"> б) семьям погибших (умерших)  в результате агрессии и Вооруженных Сил и вооруженных формирований Украины против мирных граждан из числа военнослужащих и сотрудников Органов Внутренних Дел, проходивших службу в соответствующих формированиях Донецкой Народной Республики – в размере 800 000грн;</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в) лицам, из числа гражданского населения, признанными инвалидами, вследствие ранения (контузии),  ранения, контузии  или увечья, полученных в результате агрессии Вооруженных Сил и вооруженных формирований Украины против мирных граждан – 300 000грн.;</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г) лицам, из числа военнослужащих и Органов Внутренних Дел, проходивших службу в соответствующих формированиях Донецкой Народной Республики  и признанных инвалидами, вследствие ранения (контузии),  ранения, контузии  или увечья, полученных в результате агрессии Вооруженных Сил и вооруженных формирований Украины против мирных граждан в период служебных обязанностей – 500 000грн.;</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д) лицам, из числа гражданского населения получивших тяжелые ранения, контузии  или увечья, полученных в результате агрессии Вооруженных Сил и вооруженных формирований Украины против мирных граждан – 250 000грн., получившим лёгкие ранения, контузии или увечья – 50 000грн.;</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е) лицам, из числа военнослужащих и Органов Внутренних Дел, проходившим службу в соответствующих формированиях Донецкой Народной Республики  и получившим в период исполнения служебных обязанностей тяжелые ранения, контузии  или увечья, полученных в результате агрессии Вооруженных Сил и вооруженных формирований Украины против мирных граждан -  300 000грн.,  получившим лёгкие ранения, контузии или увечья – 100 000грн.;</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b/>
          <w:sz w:val="32"/>
          <w:szCs w:val="32"/>
          <w:lang w:val="ru-RU"/>
        </w:rPr>
      </w:pPr>
      <w:r w:rsidRPr="002D0F76">
        <w:rPr>
          <w:b/>
          <w:sz w:val="32"/>
          <w:szCs w:val="32"/>
          <w:lang w:val="ru-RU"/>
        </w:rPr>
        <w:t>Статья 2.</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Установить с 01 июня 2014г. доплату к денежному довольствию военнослужащим Органов Внутренних Дел и пограничной Службы Украины, перешедшим на сторону Донецкой Народной республики, принявшим Присягу и проходящим службу в соответствующих формированиях Донецкой Народной республики, в размере 100%.</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b/>
          <w:sz w:val="32"/>
          <w:szCs w:val="32"/>
          <w:lang w:val="ru-RU"/>
        </w:rPr>
      </w:pPr>
      <w:r w:rsidRPr="002D0F76">
        <w:rPr>
          <w:b/>
          <w:sz w:val="32"/>
          <w:szCs w:val="32"/>
          <w:lang w:val="ru-RU"/>
        </w:rPr>
        <w:t xml:space="preserve">Статья  3. </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Установить с 01 июня 2014г. доплату к назначенной пенсии инвалидам Великой Отечественной Войны в размере 25%.</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b/>
          <w:sz w:val="32"/>
          <w:szCs w:val="32"/>
          <w:lang w:val="ru-RU"/>
        </w:rPr>
      </w:pPr>
      <w:r w:rsidRPr="002D0F76">
        <w:rPr>
          <w:b/>
          <w:sz w:val="32"/>
          <w:szCs w:val="32"/>
          <w:lang w:val="ru-RU"/>
        </w:rPr>
        <w:t>Статья 4.</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Установить с 01 июня 2014г.:</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а) доплату к заработной плате медицинским работникам Скорой Медицинской Помощи (врачам, молодым врачам, среднему и младшему медицинскому персоналу), водителям Скорой Медицинской Помощи в размере 30% от установленной им заработной платы;</w:t>
      </w:r>
    </w:p>
    <w:p w:rsidR="00AB472C" w:rsidRPr="002D0F76" w:rsidRDefault="00AB472C" w:rsidP="00DE4D7F">
      <w:pPr>
        <w:tabs>
          <w:tab w:val="left" w:pos="7520"/>
        </w:tabs>
        <w:ind w:firstLine="708"/>
        <w:jc w:val="both"/>
        <w:rPr>
          <w:sz w:val="32"/>
          <w:szCs w:val="32"/>
          <w:lang w:val="ru-RU"/>
        </w:rPr>
      </w:pPr>
    </w:p>
    <w:p w:rsidR="00AB472C" w:rsidRPr="002D0F76" w:rsidRDefault="00AB472C" w:rsidP="002D0F76">
      <w:pPr>
        <w:tabs>
          <w:tab w:val="left" w:pos="7520"/>
        </w:tabs>
        <w:ind w:firstLine="708"/>
        <w:jc w:val="both"/>
        <w:rPr>
          <w:sz w:val="32"/>
          <w:szCs w:val="32"/>
          <w:lang w:val="ru-RU"/>
        </w:rPr>
      </w:pPr>
      <w:r w:rsidRPr="002D0F76">
        <w:rPr>
          <w:sz w:val="32"/>
          <w:szCs w:val="32"/>
          <w:lang w:val="ru-RU"/>
        </w:rPr>
        <w:t>б) доплату к заработной плате иным медицинским работникам, оказывающим экстренную и неотложную медицинскую помощь в стационарных условиях в размере 25% от установленной им заработной платы;</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в) доплату к стипендиям студентам высших и средних специальных учебных заведений, аспирантам и докторантам в размере 25% от получаемой ими стипендии.</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b/>
          <w:sz w:val="32"/>
          <w:szCs w:val="32"/>
          <w:lang w:val="ru-RU"/>
        </w:rPr>
        <w:t>Статья 5.</w:t>
      </w:r>
      <w:r w:rsidRPr="002D0F76">
        <w:rPr>
          <w:sz w:val="32"/>
          <w:szCs w:val="32"/>
          <w:lang w:val="ru-RU"/>
        </w:rPr>
        <w:t xml:space="preserve"> Совету Министров Донецкой Народной Республики – Правительству Донецкой Народной Республики:</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а) принять решение об установлении единовременных компенсаций за ущерб имуществу граждан причинённый в результате агрессии Вооруженных Сил и вооруженных формирований Украины против мирных граждан на территории Донецкой Народной Республики в период с 13 апреля 2014г., включая компенсацию за утрату имущества первой необходимости в случае, если это имущество было утрачено полностью или частично, компенсацию затрат на ремонт жилья, а так же компенсацию затрат на строительство нового жилья взамен разрушенного;</w:t>
      </w:r>
    </w:p>
    <w:p w:rsidR="00AB472C" w:rsidRPr="002D0F76" w:rsidRDefault="00AB472C" w:rsidP="00DE4D7F">
      <w:pPr>
        <w:tabs>
          <w:tab w:val="left" w:pos="7520"/>
        </w:tabs>
        <w:ind w:firstLine="708"/>
        <w:jc w:val="both"/>
        <w:rPr>
          <w:sz w:val="32"/>
          <w:szCs w:val="32"/>
          <w:lang w:val="ru-RU"/>
        </w:rPr>
      </w:pPr>
    </w:p>
    <w:p w:rsidR="00AB472C" w:rsidRPr="002D0F76" w:rsidRDefault="00AB472C" w:rsidP="00DE4D7F">
      <w:pPr>
        <w:tabs>
          <w:tab w:val="left" w:pos="7520"/>
        </w:tabs>
        <w:ind w:firstLine="708"/>
        <w:jc w:val="both"/>
        <w:rPr>
          <w:sz w:val="32"/>
          <w:szCs w:val="32"/>
          <w:lang w:val="ru-RU"/>
        </w:rPr>
      </w:pPr>
      <w:r w:rsidRPr="002D0F76">
        <w:rPr>
          <w:sz w:val="32"/>
          <w:szCs w:val="32"/>
          <w:lang w:val="ru-RU"/>
        </w:rPr>
        <w:t>б) определить источники финансирования расходов, предусмотренных настоящим законом и установить порядок его реализации, в том числе порядок и сроки осуществления единовременных компенсаций и доплат в соответствии со статьями 1 и 3.</w:t>
      </w:r>
    </w:p>
    <w:p w:rsidR="00AB472C" w:rsidRPr="002D0F76" w:rsidRDefault="00AB472C" w:rsidP="00DE4D7F">
      <w:pPr>
        <w:tabs>
          <w:tab w:val="left" w:pos="7520"/>
        </w:tabs>
        <w:ind w:firstLine="708"/>
        <w:jc w:val="both"/>
        <w:rPr>
          <w:sz w:val="32"/>
          <w:szCs w:val="32"/>
          <w:lang w:val="ru-RU"/>
        </w:rPr>
      </w:pPr>
    </w:p>
    <w:p w:rsidR="00AB472C" w:rsidRDefault="00AB472C" w:rsidP="00AA60AC">
      <w:pPr>
        <w:tabs>
          <w:tab w:val="left" w:pos="7520"/>
        </w:tabs>
        <w:ind w:firstLine="708"/>
        <w:rPr>
          <w:sz w:val="28"/>
          <w:szCs w:val="28"/>
          <w:lang w:val="ru-RU"/>
        </w:rPr>
      </w:pPr>
    </w:p>
    <w:p w:rsidR="00AB472C" w:rsidRDefault="00AB472C" w:rsidP="00AA60AC">
      <w:pPr>
        <w:tabs>
          <w:tab w:val="left" w:pos="7520"/>
        </w:tabs>
        <w:ind w:firstLine="708"/>
        <w:rPr>
          <w:sz w:val="28"/>
          <w:szCs w:val="28"/>
          <w:lang w:val="ru-RU"/>
        </w:rPr>
      </w:pPr>
    </w:p>
    <w:p w:rsidR="00AB472C" w:rsidRPr="005517B6" w:rsidRDefault="00AB472C" w:rsidP="00AA60AC">
      <w:pPr>
        <w:tabs>
          <w:tab w:val="left" w:pos="7520"/>
        </w:tabs>
        <w:ind w:firstLine="708"/>
        <w:rPr>
          <w:sz w:val="28"/>
          <w:szCs w:val="28"/>
          <w:lang w:val="ru-RU"/>
        </w:rPr>
      </w:pPr>
    </w:p>
    <w:p w:rsidR="00AB472C" w:rsidRPr="00B26A03" w:rsidRDefault="00AB472C" w:rsidP="00AA60AC">
      <w:pPr>
        <w:rPr>
          <w:lang w:val="ru-RU"/>
        </w:rPr>
      </w:pPr>
      <w:bookmarkStart w:id="0" w:name="_GoBack"/>
      <w:bookmarkEnd w:id="0"/>
    </w:p>
    <w:p w:rsidR="00AB472C" w:rsidRPr="005517B6" w:rsidRDefault="00AB472C" w:rsidP="00AA60AC">
      <w:pPr>
        <w:rPr>
          <w:sz w:val="20"/>
          <w:lang w:val="ru-RU" w:eastAsia="ru-RU"/>
        </w:rPr>
      </w:pPr>
    </w:p>
    <w:p w:rsidR="00AB472C" w:rsidRPr="002543F3" w:rsidRDefault="00AB472C" w:rsidP="00AA60AC">
      <w:pPr>
        <w:rPr>
          <w:lang w:val="ru-RU"/>
        </w:rPr>
      </w:pPr>
    </w:p>
    <w:p w:rsidR="00AB472C" w:rsidRPr="00DE4D7F" w:rsidRDefault="00AB472C">
      <w:pPr>
        <w:rPr>
          <w:lang w:val="ru-RU"/>
        </w:rPr>
      </w:pPr>
    </w:p>
    <w:sectPr w:rsidR="00AB472C" w:rsidRPr="00DE4D7F" w:rsidSect="002D0F76">
      <w:pgSz w:w="11900" w:h="16840"/>
      <w:pgMar w:top="284" w:right="560" w:bottom="993"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2C" w:rsidRDefault="00AB472C" w:rsidP="00301D34">
      <w:r>
        <w:separator/>
      </w:r>
    </w:p>
  </w:endnote>
  <w:endnote w:type="continuationSeparator" w:id="0">
    <w:p w:rsidR="00AB472C" w:rsidRDefault="00AB472C" w:rsidP="00301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Bol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2C" w:rsidRDefault="00AB472C" w:rsidP="00301D34">
      <w:r>
        <w:separator/>
      </w:r>
    </w:p>
  </w:footnote>
  <w:footnote w:type="continuationSeparator" w:id="0">
    <w:p w:rsidR="00AB472C" w:rsidRDefault="00AB472C" w:rsidP="00301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0AC"/>
    <w:rsid w:val="00075BBB"/>
    <w:rsid w:val="001C741B"/>
    <w:rsid w:val="00212244"/>
    <w:rsid w:val="002543F3"/>
    <w:rsid w:val="002D0F76"/>
    <w:rsid w:val="00301D34"/>
    <w:rsid w:val="004B12B2"/>
    <w:rsid w:val="004F0152"/>
    <w:rsid w:val="005517B6"/>
    <w:rsid w:val="006D6CB0"/>
    <w:rsid w:val="006F7DE7"/>
    <w:rsid w:val="00707AAB"/>
    <w:rsid w:val="00770A1B"/>
    <w:rsid w:val="00931AB7"/>
    <w:rsid w:val="00AA60AC"/>
    <w:rsid w:val="00AB472C"/>
    <w:rsid w:val="00B005C8"/>
    <w:rsid w:val="00B26A03"/>
    <w:rsid w:val="00CE1D4D"/>
    <w:rsid w:val="00D71906"/>
    <w:rsid w:val="00D92188"/>
    <w:rsid w:val="00DE4D7F"/>
    <w:rsid w:val="00E15A4D"/>
    <w:rsid w:val="00E42A3F"/>
    <w:rsid w:val="00E53BDD"/>
    <w:rsid w:val="00E91CE0"/>
    <w:rsid w:val="00F27E77"/>
    <w:rsid w:val="00FC23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AC"/>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 и нижн. колонтитул"/>
    <w:uiPriority w:val="99"/>
    <w:rsid w:val="00AA60AC"/>
    <w:pPr>
      <w:tabs>
        <w:tab w:val="right" w:pos="9632"/>
      </w:tabs>
    </w:pPr>
    <w:rPr>
      <w:rFonts w:ascii="Helvetica" w:hAnsi="Helvetica"/>
      <w:color w:val="000000"/>
      <w:sz w:val="20"/>
      <w:szCs w:val="20"/>
    </w:rPr>
  </w:style>
  <w:style w:type="paragraph" w:customStyle="1" w:styleId="1">
    <w:name w:val="Сетка таблицы1"/>
    <w:uiPriority w:val="99"/>
    <w:rsid w:val="00AA60AC"/>
    <w:pPr>
      <w:widowControl w:val="0"/>
      <w:ind w:firstLine="709"/>
      <w:jc w:val="both"/>
    </w:pPr>
    <w:rPr>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692</Words>
  <Characters>3947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S3lc0ded</cp:lastModifiedBy>
  <cp:revision>3</cp:revision>
  <cp:lastPrinted>2014-06-05T12:27:00Z</cp:lastPrinted>
  <dcterms:created xsi:type="dcterms:W3CDTF">2014-06-05T12:30:00Z</dcterms:created>
  <dcterms:modified xsi:type="dcterms:W3CDTF">2014-06-05T13:20:00Z</dcterms:modified>
</cp:coreProperties>
</file>