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EF0" w:rsidRDefault="00F912E2">
      <w:pPr>
        <w:pStyle w:val="10"/>
        <w:keepNext/>
        <w:keepLines/>
        <w:spacing w:after="425"/>
        <w:ind w:right="24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CE7001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573EF0" w:rsidRDefault="00F912E2">
      <w:pPr>
        <w:pStyle w:val="20"/>
        <w:keepNext/>
        <w:keepLines/>
        <w:spacing w:before="0" w:after="87" w:line="300" w:lineRule="exact"/>
        <w:ind w:right="24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573EF0" w:rsidRPr="00CE7001" w:rsidRDefault="00F912E2">
      <w:pPr>
        <w:pStyle w:val="23"/>
        <w:spacing w:before="0" w:after="499" w:line="260" w:lineRule="exact"/>
      </w:pPr>
      <w:r>
        <w:rPr>
          <w:rStyle w:val="24"/>
          <w:b/>
          <w:bCs/>
        </w:rPr>
        <w:t xml:space="preserve">от </w:t>
      </w:r>
      <w:r w:rsidRPr="00CE7001">
        <w:rPr>
          <w:rStyle w:val="25"/>
          <w:b/>
          <w:bCs/>
          <w:u w:val="none"/>
        </w:rPr>
        <w:t>25 сентября</w:t>
      </w:r>
      <w:r w:rsidRPr="00CE7001">
        <w:rPr>
          <w:rStyle w:val="26"/>
          <w:b/>
          <w:bCs/>
        </w:rPr>
        <w:t xml:space="preserve"> </w:t>
      </w:r>
      <w:r w:rsidRPr="00CE7001">
        <w:rPr>
          <w:rStyle w:val="24"/>
          <w:b/>
          <w:bCs/>
        </w:rPr>
        <w:t xml:space="preserve">2018 г. № </w:t>
      </w:r>
      <w:r w:rsidRPr="00CE7001">
        <w:rPr>
          <w:rStyle w:val="25"/>
          <w:b/>
          <w:bCs/>
          <w:u w:val="none"/>
        </w:rPr>
        <w:t>6-1</w:t>
      </w:r>
    </w:p>
    <w:p w:rsidR="00573EF0" w:rsidRDefault="00F912E2">
      <w:pPr>
        <w:pStyle w:val="23"/>
        <w:spacing w:before="0" w:after="300" w:line="370" w:lineRule="exact"/>
        <w:ind w:left="1920" w:right="980"/>
        <w:jc w:val="left"/>
      </w:pPr>
      <w:r>
        <w:rPr>
          <w:rStyle w:val="24"/>
          <w:b/>
          <w:bCs/>
        </w:rPr>
        <w:t>О внесении изменений в некоторые постановления Совета Министров Донецкой Народной Республики</w:t>
      </w:r>
    </w:p>
    <w:p w:rsidR="00573EF0" w:rsidRDefault="00F912E2">
      <w:pPr>
        <w:pStyle w:val="27"/>
        <w:spacing w:before="0" w:after="388"/>
        <w:ind w:left="20" w:right="20" w:firstLine="940"/>
      </w:pPr>
      <w:r>
        <w:rPr>
          <w:rStyle w:val="12"/>
        </w:rPr>
        <w:t xml:space="preserve">В связи с необходимостью уточнения функций Центрального Республиканского </w:t>
      </w:r>
      <w:r>
        <w:rPr>
          <w:rStyle w:val="12"/>
        </w:rPr>
        <w:t>Банка Донецкой Народной Республики, на срок до принятия закона, регулирующего банковскую деятельность на территории Донецкой Народной Республики, Совет Министров Донецкой Народной Республики</w:t>
      </w:r>
    </w:p>
    <w:p w:rsidR="00573EF0" w:rsidRDefault="00F912E2">
      <w:pPr>
        <w:pStyle w:val="23"/>
        <w:spacing w:before="0" w:after="154" w:line="260" w:lineRule="exact"/>
        <w:ind w:left="20"/>
        <w:jc w:val="left"/>
      </w:pPr>
      <w:r>
        <w:rPr>
          <w:rStyle w:val="24"/>
          <w:b/>
          <w:bCs/>
        </w:rPr>
        <w:t>ПОСТАНОВЛЯЕТ:</w:t>
      </w:r>
    </w:p>
    <w:p w:rsidR="00573EF0" w:rsidRDefault="00F912E2">
      <w:pPr>
        <w:pStyle w:val="27"/>
        <w:numPr>
          <w:ilvl w:val="0"/>
          <w:numId w:val="1"/>
        </w:numPr>
        <w:spacing w:before="0" w:after="0"/>
        <w:ind w:left="20" w:right="20" w:firstLine="720"/>
      </w:pPr>
      <w:r>
        <w:rPr>
          <w:rStyle w:val="12"/>
        </w:rPr>
        <w:t xml:space="preserve"> Внести изменения в </w:t>
      </w:r>
      <w:hyperlink r:id="rId7" w:history="1">
        <w:r w:rsidRPr="00C72366">
          <w:rPr>
            <w:rStyle w:val="a3"/>
          </w:rPr>
          <w:t>Постановление Президиума Совета</w:t>
        </w:r>
        <w:r w:rsidRPr="00C72366">
          <w:rPr>
            <w:rStyle w:val="a3"/>
          </w:rPr>
          <w:t xml:space="preserve"> Министров Донецкой Народной Республики от 06.05.2015 г. № 8-3 «Об упорядочении деятельности в сфере предоставления банковских и финансовых услуг в Донецкой Народной Республике»</w:t>
        </w:r>
      </w:hyperlink>
      <w:r>
        <w:rPr>
          <w:rStyle w:val="12"/>
        </w:rPr>
        <w:t xml:space="preserve"> (далее - Постановление), а именно пункт 5 </w:t>
      </w:r>
      <w:hyperlink r:id="rId8" w:history="1">
        <w:r w:rsidRPr="00C72366">
          <w:rPr>
            <w:rStyle w:val="a3"/>
          </w:rPr>
          <w:t>Постановления</w:t>
        </w:r>
      </w:hyperlink>
      <w:r>
        <w:rPr>
          <w:rStyle w:val="12"/>
        </w:rPr>
        <w:t xml:space="preserve"> изложить в следующей р</w:t>
      </w:r>
      <w:r>
        <w:rPr>
          <w:rStyle w:val="12"/>
        </w:rPr>
        <w:t>едакции:</w:t>
      </w:r>
    </w:p>
    <w:p w:rsidR="00573EF0" w:rsidRDefault="00F912E2">
      <w:pPr>
        <w:pStyle w:val="27"/>
        <w:spacing w:before="0" w:after="0"/>
        <w:ind w:left="20" w:right="20" w:firstLine="940"/>
      </w:pPr>
      <w:r>
        <w:rPr>
          <w:rStyle w:val="12"/>
        </w:rPr>
        <w:t>«Установить, что до вступления в силу закона, регулирующего банковскую деятельность, предоставлять банковские услуги на территории Донецкой Народной Республики уполномочены исключительно Центральный Республиканский Банк Донецкой Народной Республик</w:t>
      </w:r>
      <w:r>
        <w:rPr>
          <w:rStyle w:val="12"/>
        </w:rPr>
        <w:t>и и Филиал № 1 Коммерческого Банка «Международный Расчетный Банк» (общество с ограниченной ответственностью) Республики Южная Осетия. Также Центральный Республиканский Банк Донецкой Народной Республики уполномочен на ведение деятельности по оказанию финанс</w:t>
      </w:r>
      <w:r>
        <w:rPr>
          <w:rStyle w:val="12"/>
        </w:rPr>
        <w:t>овых услуг, за исключением страховой деятельности, деятельности по предоставлению услуг накопительного пенсионного обеспечения».</w:t>
      </w:r>
    </w:p>
    <w:p w:rsidR="00573EF0" w:rsidRDefault="00F912E2">
      <w:pPr>
        <w:pStyle w:val="27"/>
        <w:numPr>
          <w:ilvl w:val="0"/>
          <w:numId w:val="1"/>
        </w:numPr>
        <w:spacing w:before="0" w:after="0"/>
        <w:ind w:left="20" w:right="20" w:firstLine="720"/>
      </w:pPr>
      <w:r>
        <w:rPr>
          <w:rStyle w:val="12"/>
        </w:rPr>
        <w:t xml:space="preserve"> Внести изменения в Порядок государственной регистрации юридических лиц и физических лиц-предпринимателей, утвержденный</w:t>
      </w:r>
    </w:p>
    <w:p w:rsidR="00573EF0" w:rsidRDefault="00766F04" w:rsidP="00CE7001">
      <w:pPr>
        <w:pStyle w:val="27"/>
        <w:spacing w:before="0" w:after="0" w:line="276" w:lineRule="auto"/>
        <w:ind w:left="20" w:right="20"/>
      </w:pPr>
      <w:hyperlink r:id="rId9" w:history="1">
        <w:r w:rsidR="00F912E2" w:rsidRPr="00766F04">
          <w:rPr>
            <w:rStyle w:val="a3"/>
          </w:rPr>
          <w:t>Постано</w:t>
        </w:r>
        <w:r w:rsidR="00F912E2" w:rsidRPr="00766F04">
          <w:rPr>
            <w:rStyle w:val="a3"/>
          </w:rPr>
          <w:t>влением Совета Министров Донецкой Народной Республики от 29.09.2014 № 36-10</w:t>
        </w:r>
      </w:hyperlink>
      <w:r w:rsidR="00F912E2">
        <w:rPr>
          <w:rStyle w:val="12"/>
        </w:rPr>
        <w:t xml:space="preserve"> (далее - Порядок), а именно подпункт 3 пункта 7</w:t>
      </w:r>
      <w:r w:rsidR="00F912E2">
        <w:rPr>
          <w:rStyle w:val="12"/>
          <w:vertAlign w:val="superscript"/>
        </w:rPr>
        <w:t>1</w:t>
      </w:r>
      <w:r w:rsidR="00F912E2">
        <w:rPr>
          <w:rStyle w:val="12"/>
        </w:rPr>
        <w:t xml:space="preserve"> </w:t>
      </w:r>
      <w:hyperlink r:id="rId10" w:history="1">
        <w:r w:rsidR="00F912E2" w:rsidRPr="00766F04">
          <w:rPr>
            <w:rStyle w:val="a3"/>
          </w:rPr>
          <w:t>Порядка</w:t>
        </w:r>
      </w:hyperlink>
      <w:r w:rsidR="00F912E2">
        <w:rPr>
          <w:rStyle w:val="12"/>
        </w:rPr>
        <w:t xml:space="preserve"> изложить в </w:t>
      </w:r>
      <w:r w:rsidR="00F912E2">
        <w:rPr>
          <w:rStyle w:val="12"/>
        </w:rPr>
        <w:lastRenderedPageBreak/>
        <w:t>следующей редакции:</w:t>
      </w:r>
    </w:p>
    <w:p w:rsidR="00573EF0" w:rsidRDefault="00F912E2" w:rsidP="00CE7001">
      <w:pPr>
        <w:pStyle w:val="27"/>
        <w:spacing w:before="0" w:after="0" w:line="276" w:lineRule="auto"/>
        <w:ind w:left="20" w:right="20"/>
      </w:pPr>
      <w:r>
        <w:rPr>
          <w:rStyle w:val="12"/>
        </w:rPr>
        <w:t xml:space="preserve">«3) Филиал юридического лица-нерезидента, за исключением филиала иностранного банка, </w:t>
      </w:r>
      <w:r>
        <w:rPr>
          <w:rStyle w:val="12"/>
        </w:rPr>
        <w:t>регистрируется на срок 1 (один) год с возможностью последующего продления регистрации в случае обращения юридического лица-нерезидента в Министерство доходов и сборов Донецкой Народной Республики в установленном порядке. Филиал иностранного банка регистрир</w:t>
      </w:r>
      <w:r>
        <w:rPr>
          <w:rStyle w:val="12"/>
        </w:rPr>
        <w:t>уется бессрочно».</w:t>
      </w:r>
    </w:p>
    <w:p w:rsidR="00CE7001" w:rsidRDefault="00CE7001" w:rsidP="00CE7001">
      <w:pPr>
        <w:pStyle w:val="27"/>
        <w:spacing w:before="0" w:after="0" w:line="276" w:lineRule="auto"/>
        <w:jc w:val="left"/>
        <w:rPr>
          <w:rStyle w:val="12"/>
        </w:rPr>
      </w:pPr>
    </w:p>
    <w:p w:rsidR="00CE7001" w:rsidRDefault="00CE7001" w:rsidP="00CE7001">
      <w:pPr>
        <w:pStyle w:val="27"/>
        <w:spacing w:before="0" w:after="0" w:line="276" w:lineRule="auto"/>
        <w:jc w:val="left"/>
        <w:rPr>
          <w:rStyle w:val="12"/>
        </w:rPr>
      </w:pPr>
    </w:p>
    <w:p w:rsidR="00CE7001" w:rsidRDefault="00CE7001" w:rsidP="00CE7001">
      <w:pPr>
        <w:pStyle w:val="27"/>
        <w:spacing w:before="0" w:after="0" w:line="276" w:lineRule="auto"/>
        <w:jc w:val="left"/>
        <w:rPr>
          <w:rStyle w:val="12"/>
        </w:rPr>
      </w:pPr>
    </w:p>
    <w:p w:rsidR="00CE7001" w:rsidRDefault="00CE7001" w:rsidP="00CE7001">
      <w:pPr>
        <w:pStyle w:val="27"/>
        <w:spacing w:before="0" w:after="0" w:line="276" w:lineRule="auto"/>
        <w:jc w:val="left"/>
        <w:rPr>
          <w:rStyle w:val="12"/>
        </w:rPr>
      </w:pPr>
    </w:p>
    <w:p w:rsidR="00573EF0" w:rsidRDefault="00CE7001" w:rsidP="00CE7001">
      <w:pPr>
        <w:pStyle w:val="27"/>
        <w:spacing w:before="0" w:after="0" w:line="276" w:lineRule="auto"/>
        <w:jc w:val="left"/>
      </w:pPr>
      <w:r>
        <w:rPr>
          <w:rStyle w:val="12"/>
        </w:rPr>
        <w:t>Вр. и. о. Председателя</w:t>
      </w:r>
      <w:r>
        <w:rPr>
          <w:rStyle w:val="12"/>
        </w:rPr>
        <w:br/>
        <w:t xml:space="preserve">Совета Министров </w:t>
      </w:r>
      <w:r>
        <w:rPr>
          <w:rStyle w:val="12"/>
        </w:rPr>
        <w:br/>
        <w:t xml:space="preserve">Донецкой Народной Республики                                                    </w:t>
      </w:r>
      <w:r w:rsidR="00F912E2">
        <w:rPr>
          <w:rStyle w:val="12"/>
        </w:rPr>
        <w:t>Д.В. Пушилин</w:t>
      </w:r>
    </w:p>
    <w:sectPr w:rsidR="00573EF0" w:rsidSect="00573EF0">
      <w:type w:val="continuous"/>
      <w:pgSz w:w="11906" w:h="16838"/>
      <w:pgMar w:top="2179" w:right="1222" w:bottom="2174" w:left="12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2E2" w:rsidRDefault="00F912E2" w:rsidP="00573EF0">
      <w:r>
        <w:separator/>
      </w:r>
    </w:p>
  </w:endnote>
  <w:endnote w:type="continuationSeparator" w:id="1">
    <w:p w:rsidR="00F912E2" w:rsidRDefault="00F912E2" w:rsidP="00573E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2E2" w:rsidRDefault="00F912E2"/>
  </w:footnote>
  <w:footnote w:type="continuationSeparator" w:id="1">
    <w:p w:rsidR="00F912E2" w:rsidRDefault="00F912E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D6359"/>
    <w:multiLevelType w:val="multilevel"/>
    <w:tmpl w:val="116A76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73EF0"/>
    <w:rsid w:val="000633F7"/>
    <w:rsid w:val="00573EF0"/>
    <w:rsid w:val="00766F04"/>
    <w:rsid w:val="009D1465"/>
    <w:rsid w:val="00C72366"/>
    <w:rsid w:val="00CE7001"/>
    <w:rsid w:val="00F91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73EF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73EF0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73E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573EF0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573E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sid w:val="00573EF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573E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573EF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 (2)"/>
    <w:basedOn w:val="22"/>
    <w:rsid w:val="00573EF0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6">
    <w:name w:val="Основной текст (2)"/>
    <w:basedOn w:val="22"/>
    <w:rsid w:val="00573EF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7"/>
    <w:rsid w:val="00573E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573EF0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573EF0"/>
    <w:pPr>
      <w:spacing w:after="30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Заголовок №2"/>
    <w:basedOn w:val="a"/>
    <w:link w:val="2"/>
    <w:rsid w:val="00573EF0"/>
    <w:pPr>
      <w:spacing w:before="30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rsid w:val="00573EF0"/>
    <w:pPr>
      <w:spacing w:before="120" w:after="6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7">
    <w:name w:val="Основной текст2"/>
    <w:basedOn w:val="a"/>
    <w:link w:val="a4"/>
    <w:rsid w:val="00573EF0"/>
    <w:pPr>
      <w:spacing w:before="300" w:after="30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8-3-ot-06-05-2015-g-ob-uporyadochenii-deyatelnosti-v-sfere-predostavleniya-bankovskih-i-finansovyh-uslug-v-donetskoj-narodnoj-respublike-opublikovano-16-05-2015-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8-3-ot-06-05-2015-g-ob-uporyadochenii-deyatelnosti-v-sfere-predostavleniya-bankovskih-i-finansovyh-uslug-v-donetskoj-narodnoj-respublike-opublikovano-16-05-2015-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36-10-ot-29-09-2014-ob-utverzhdenii-poryadka-gosudarstvennoj-registratsii-yuridicheskih-i-fizicheskih-lits-predprinimatelej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36-10-ot-29-09-2014-ob-utverzhdenii-poryadka-gosudarstvennoj-registratsii-yuridicheskih-i-fizicheskih-lits-predprinimatele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2018-11-05T10:36:00Z</dcterms:created>
  <dcterms:modified xsi:type="dcterms:W3CDTF">2018-11-05T11:28:00Z</dcterms:modified>
</cp:coreProperties>
</file>