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FB" w:rsidRPr="009A6783" w:rsidRDefault="008F6CFB" w:rsidP="008F6CFB">
      <w:pPr>
        <w:tabs>
          <w:tab w:val="left" w:pos="4111"/>
        </w:tabs>
        <w:spacing w:after="200"/>
        <w:ind w:right="-1"/>
        <w:jc w:val="center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 w:rsidRPr="009A6783">
        <w:rPr>
          <w:rFonts w:ascii="Times New Roman" w:hAnsi="Times New Roman"/>
          <w:i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FB" w:rsidRPr="009A6783" w:rsidRDefault="008F6CFB" w:rsidP="008F6CFB">
      <w:pPr>
        <w:spacing w:after="0" w:line="360" w:lineRule="auto"/>
        <w:ind w:right="-1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</w:pPr>
      <w:r w:rsidRPr="009A6783"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8F6CFB" w:rsidRDefault="008F6CFB" w:rsidP="008F6CFB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6783">
        <w:rPr>
          <w:rFonts w:ascii="Times New Roman" w:hAnsi="Times New Roman"/>
          <w:b/>
          <w:spacing w:val="80"/>
          <w:kern w:val="2"/>
          <w:sz w:val="44"/>
          <w:szCs w:val="44"/>
        </w:rPr>
        <w:t>ЗАКОН</w:t>
      </w: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F6CFB" w:rsidRDefault="008F6CFB" w:rsidP="008F6CFB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CFB" w:rsidRDefault="008F6CFB" w:rsidP="008F6CFB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112" w:rsidRPr="00381A85" w:rsidRDefault="00535112" w:rsidP="008F6C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 w:rsidRPr="00557EFC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СТАТЬ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 xml:space="preserve"> 304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57EFC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proofErr w:type="gramEnd"/>
      <w:r w:rsidRPr="00557EFC">
        <w:rPr>
          <w:rFonts w:ascii="Times New Roman" w:hAnsi="Times New Roman"/>
          <w:b/>
          <w:bCs/>
          <w:color w:val="000000"/>
          <w:sz w:val="28"/>
          <w:szCs w:val="28"/>
        </w:rPr>
        <w:t xml:space="preserve"> 436</w:t>
      </w: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ЗАКОНА ДОНЕЦКОЙ НАРОДНОЙ РЕСПУБЛИКИ «О ТАМОЖЕННОМ РЕГУЛИРОВАНИИ В ДОНЕЦКОЙ НАРОДНОЙ РЕСПУБЛИКЕ»</w:t>
      </w:r>
    </w:p>
    <w:p w:rsidR="00535112" w:rsidRDefault="00535112" w:rsidP="00413228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CFB" w:rsidRDefault="008F6CFB" w:rsidP="00413228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CFB" w:rsidRPr="009A6783" w:rsidRDefault="008F6CFB" w:rsidP="008F6CF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6783">
        <w:rPr>
          <w:rFonts w:ascii="Times New Roman" w:hAnsi="Times New Roman"/>
          <w:b/>
          <w:sz w:val="28"/>
          <w:szCs w:val="28"/>
        </w:rPr>
        <w:t>Принят</w:t>
      </w:r>
      <w:proofErr w:type="gramEnd"/>
      <w:r w:rsidRPr="009A6783">
        <w:rPr>
          <w:rFonts w:ascii="Times New Roman" w:hAnsi="Times New Roman"/>
          <w:b/>
          <w:sz w:val="28"/>
          <w:szCs w:val="28"/>
        </w:rPr>
        <w:t xml:space="preserve"> Постановлением Народного Совета </w:t>
      </w:r>
      <w:r>
        <w:rPr>
          <w:rFonts w:ascii="Times New Roman" w:hAnsi="Times New Roman"/>
          <w:b/>
          <w:sz w:val="28"/>
          <w:szCs w:val="28"/>
        </w:rPr>
        <w:t>14</w:t>
      </w:r>
      <w:r w:rsidRPr="009A6783">
        <w:rPr>
          <w:rFonts w:ascii="Times New Roman" w:hAnsi="Times New Roman"/>
          <w:b/>
          <w:sz w:val="28"/>
          <w:szCs w:val="28"/>
        </w:rPr>
        <w:t xml:space="preserve"> декабря 2018 года</w:t>
      </w:r>
    </w:p>
    <w:p w:rsidR="00535112" w:rsidRDefault="00535112" w:rsidP="00413228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6CFB" w:rsidRDefault="008F6CFB" w:rsidP="00413228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5112" w:rsidRPr="00381A85" w:rsidRDefault="00535112" w:rsidP="008F6CFB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</w:p>
    <w:p w:rsidR="00535112" w:rsidRPr="00381A85" w:rsidRDefault="00535112" w:rsidP="00AD2B93">
      <w:pPr>
        <w:spacing w:before="360" w:after="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81A85">
        <w:rPr>
          <w:rFonts w:ascii="Times New Roman" w:hAnsi="Times New Roman"/>
          <w:bCs/>
          <w:color w:val="000000"/>
          <w:sz w:val="28"/>
          <w:szCs w:val="28"/>
        </w:rPr>
        <w:t>Внести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8" w:history="1">
        <w:r w:rsidRPr="00A0681E">
          <w:rPr>
            <w:rStyle w:val="ac"/>
            <w:rFonts w:ascii="Times New Roman" w:hAnsi="Times New Roman"/>
            <w:bCs/>
            <w:sz w:val="28"/>
            <w:szCs w:val="28"/>
          </w:rPr>
          <w:t xml:space="preserve">Закон Донецкой Народной Республики от 25 марта 2016 года </w:t>
        </w:r>
        <w:r w:rsidR="004A7494" w:rsidRPr="00A0681E">
          <w:rPr>
            <w:rStyle w:val="ac"/>
            <w:rFonts w:ascii="Times New Roman" w:hAnsi="Times New Roman"/>
            <w:bCs/>
            <w:sz w:val="28"/>
            <w:szCs w:val="28"/>
          </w:rPr>
          <w:t xml:space="preserve">         </w:t>
        </w:r>
        <w:r w:rsidRPr="00A0681E">
          <w:rPr>
            <w:rStyle w:val="ac"/>
            <w:rFonts w:ascii="Times New Roman" w:hAnsi="Times New Roman"/>
            <w:bCs/>
            <w:sz w:val="28"/>
            <w:szCs w:val="28"/>
          </w:rPr>
          <w:t>№ 116-</w:t>
        </w:r>
        <w:r w:rsidRPr="00A0681E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IHC</w:t>
        </w:r>
        <w:r w:rsidRPr="00A0681E">
          <w:rPr>
            <w:rStyle w:val="ac"/>
            <w:rFonts w:ascii="Times New Roman" w:hAnsi="Times New Roman"/>
            <w:bCs/>
            <w:sz w:val="28"/>
            <w:szCs w:val="28"/>
          </w:rPr>
          <w:t xml:space="preserve"> «О таможенном регулировании в Донецкой Народной Республике»</w:t>
        </w:r>
      </w:hyperlink>
      <w:bookmarkStart w:id="0" w:name="_GoBack"/>
      <w:bookmarkEnd w:id="0"/>
      <w:r w:rsidRPr="00381A85">
        <w:rPr>
          <w:rFonts w:ascii="Times New Roman" w:hAnsi="Times New Roman"/>
          <w:bCs/>
          <w:color w:val="000000"/>
          <w:sz w:val="28"/>
          <w:szCs w:val="28"/>
        </w:rPr>
        <w:t xml:space="preserve"> (опубликован на официальном сайте Народного Совета Донецкой Народной Республики 25 апреля 2016 года)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05CF">
        <w:rPr>
          <w:rFonts w:ascii="Times New Roman" w:hAnsi="Times New Roman"/>
          <w:bCs/>
          <w:color w:val="000000"/>
          <w:sz w:val="28"/>
          <w:szCs w:val="28"/>
        </w:rPr>
        <w:t>следующие изменения:</w:t>
      </w:r>
    </w:p>
    <w:p w:rsidR="00535112" w:rsidRDefault="00535112" w:rsidP="00BC45FE">
      <w:pPr>
        <w:spacing w:before="360"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часть 1 статьи 304 изложить в следующей редакции:</w:t>
      </w:r>
    </w:p>
    <w:p w:rsidR="00535112" w:rsidRPr="00381A85" w:rsidRDefault="00535112" w:rsidP="00BC45FE">
      <w:pPr>
        <w:spacing w:before="360"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1. Гражданам, зарегистрированным и постоянно проживающим на территории Донецкой Народной Республики, временный ввоз транспортных средств личного пользования, зарегистрированных на территории иностранных </w:t>
      </w:r>
      <w:proofErr w:type="gramStart"/>
      <w:r w:rsidRPr="00381A85">
        <w:rPr>
          <w:rFonts w:ascii="Times New Roman" w:hAnsi="Times New Roman"/>
          <w:color w:val="000000"/>
          <w:sz w:val="28"/>
          <w:szCs w:val="28"/>
        </w:rPr>
        <w:t xml:space="preserve">государств, на таможенную территорию Донецкой Народной Республики разрешается </w:t>
      </w:r>
      <w:r>
        <w:rPr>
          <w:rFonts w:ascii="Times New Roman" w:hAnsi="Times New Roman"/>
          <w:color w:val="000000"/>
          <w:sz w:val="28"/>
          <w:szCs w:val="28"/>
        </w:rPr>
        <w:t>на срок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до одного год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под письменное обяз</w:t>
      </w:r>
      <w:r>
        <w:rPr>
          <w:rFonts w:ascii="Times New Roman" w:hAnsi="Times New Roman"/>
          <w:color w:val="000000"/>
          <w:sz w:val="28"/>
          <w:szCs w:val="28"/>
        </w:rPr>
        <w:t>ательство об их обратном вывозе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при условии письменного декларирования в порядке, предусмотренном настоящим Законом и иными нормативными правовыми актами Донецкой Народной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Республики для граждан, после у</w:t>
      </w:r>
      <w:r w:rsidRPr="00381A85">
        <w:rPr>
          <w:rFonts w:ascii="Times New Roman" w:hAnsi="Times New Roman"/>
          <w:color w:val="000000"/>
          <w:sz w:val="28"/>
          <w:szCs w:val="28"/>
        </w:rPr>
        <w:t>платы ввозной таможенной по</w:t>
      </w:r>
      <w:r>
        <w:rPr>
          <w:rFonts w:ascii="Times New Roman" w:hAnsi="Times New Roman"/>
          <w:color w:val="000000"/>
          <w:sz w:val="28"/>
          <w:szCs w:val="28"/>
        </w:rPr>
        <w:t>шлины и других налогов (сборов)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в размере, предусмотренном настоящей </w:t>
      </w:r>
      <w:r>
        <w:rPr>
          <w:rFonts w:ascii="Times New Roman" w:hAnsi="Times New Roman"/>
          <w:color w:val="000000"/>
          <w:sz w:val="28"/>
          <w:szCs w:val="28"/>
        </w:rPr>
        <w:t>частью</w:t>
      </w:r>
      <w:r w:rsidRPr="00381A8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35112" w:rsidRPr="00381A85" w:rsidRDefault="00535112" w:rsidP="00BC45FE">
      <w:pPr>
        <w:spacing w:before="360"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Ввозная таможенная пошлина и другие налоги (сборы) у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плачиваются в размере </w:t>
      </w:r>
      <w:r>
        <w:rPr>
          <w:rFonts w:ascii="Times New Roman" w:hAnsi="Times New Roman"/>
          <w:color w:val="000000"/>
          <w:sz w:val="28"/>
          <w:szCs w:val="28"/>
        </w:rPr>
        <w:t>десяти процентов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от су</w:t>
      </w:r>
      <w:r>
        <w:rPr>
          <w:rFonts w:ascii="Times New Roman" w:hAnsi="Times New Roman"/>
          <w:color w:val="000000"/>
          <w:sz w:val="28"/>
          <w:szCs w:val="28"/>
        </w:rPr>
        <w:t xml:space="preserve">ммы ввозной таможенной пошлины и 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других </w:t>
      </w:r>
      <w:r w:rsidRPr="00381A85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налогов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381A85">
        <w:rPr>
          <w:rFonts w:ascii="Times New Roman" w:hAnsi="Times New Roman"/>
          <w:color w:val="000000"/>
          <w:sz w:val="28"/>
          <w:szCs w:val="28"/>
        </w:rPr>
        <w:t>сбор</w:t>
      </w:r>
      <w:r>
        <w:rPr>
          <w:rFonts w:ascii="Times New Roman" w:hAnsi="Times New Roman"/>
          <w:color w:val="000000"/>
          <w:sz w:val="28"/>
          <w:szCs w:val="28"/>
        </w:rPr>
        <w:t>ов), которые подлежали бы у</w:t>
      </w:r>
      <w:r w:rsidRPr="00381A85">
        <w:rPr>
          <w:rFonts w:ascii="Times New Roman" w:hAnsi="Times New Roman"/>
          <w:color w:val="000000"/>
          <w:sz w:val="28"/>
          <w:szCs w:val="28"/>
        </w:rPr>
        <w:t>плате при выпуске транспортного средства личного пользования в свободное обращение на таможенной территории Донецкой Народной Республики, рассчитанной на дату помещения его в таможенный режим временного ввоза.</w:t>
      </w:r>
    </w:p>
    <w:p w:rsidR="00535112" w:rsidRPr="00381A85" w:rsidRDefault="00535112" w:rsidP="00BC45FE">
      <w:pPr>
        <w:spacing w:before="360"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A85">
        <w:rPr>
          <w:rFonts w:ascii="Times New Roman" w:hAnsi="Times New Roman"/>
          <w:color w:val="000000"/>
          <w:sz w:val="28"/>
          <w:szCs w:val="28"/>
        </w:rPr>
        <w:t>Оплата ввозной таможенной пошлин</w:t>
      </w:r>
      <w:r>
        <w:rPr>
          <w:rFonts w:ascii="Times New Roman" w:hAnsi="Times New Roman"/>
          <w:color w:val="000000"/>
          <w:sz w:val="28"/>
          <w:szCs w:val="28"/>
        </w:rPr>
        <w:t xml:space="preserve">ы осуществляется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единоразово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проведении </w:t>
      </w:r>
      <w:r w:rsidRPr="00381A85">
        <w:rPr>
          <w:rFonts w:ascii="Times New Roman" w:hAnsi="Times New Roman"/>
          <w:color w:val="000000"/>
          <w:sz w:val="28"/>
          <w:szCs w:val="28"/>
        </w:rPr>
        <w:t>таможенного оформления и действует на протяжении 365 дней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проведения таможенного оформ</w:t>
      </w:r>
      <w:r>
        <w:rPr>
          <w:rFonts w:ascii="Times New Roman" w:hAnsi="Times New Roman"/>
          <w:color w:val="000000"/>
          <w:sz w:val="28"/>
          <w:szCs w:val="28"/>
        </w:rPr>
        <w:t>ления транспортного средства не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зависимо от количества пересечений таможенной границы Донецкой Народной Республики данным транспортным средством </w:t>
      </w:r>
      <w:r>
        <w:rPr>
          <w:rFonts w:ascii="Times New Roman" w:hAnsi="Times New Roman"/>
          <w:color w:val="000000"/>
          <w:sz w:val="28"/>
          <w:szCs w:val="28"/>
        </w:rPr>
        <w:t>в течение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указанного периода.</w:t>
      </w:r>
    </w:p>
    <w:p w:rsidR="00535112" w:rsidRDefault="00535112" w:rsidP="00BC45FE">
      <w:pPr>
        <w:spacing w:before="360"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81A85">
        <w:rPr>
          <w:rFonts w:ascii="Times New Roman" w:hAnsi="Times New Roman"/>
          <w:color w:val="000000"/>
          <w:sz w:val="28"/>
          <w:szCs w:val="28"/>
        </w:rPr>
        <w:t xml:space="preserve">В случае изменения таможенного режима временного ввоза на выпуск товаров в свободное обращение на таможенной территории Донецкой Народной Республики ввозная таможенная пошлина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другие налоги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381A85">
        <w:rPr>
          <w:rFonts w:ascii="Times New Roman" w:hAnsi="Times New Roman"/>
          <w:color w:val="000000"/>
          <w:sz w:val="28"/>
          <w:szCs w:val="28"/>
        </w:rPr>
        <w:t>сборы)</w:t>
      </w:r>
      <w:r>
        <w:rPr>
          <w:rFonts w:ascii="Times New Roman" w:hAnsi="Times New Roman"/>
          <w:color w:val="000000"/>
          <w:sz w:val="28"/>
          <w:szCs w:val="28"/>
        </w:rPr>
        <w:t xml:space="preserve"> уплачивают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ся в </w:t>
      </w:r>
      <w:r>
        <w:rPr>
          <w:rFonts w:ascii="Times New Roman" w:hAnsi="Times New Roman"/>
          <w:color w:val="000000"/>
          <w:sz w:val="28"/>
          <w:szCs w:val="28"/>
        </w:rPr>
        <w:t>размере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, предусмотренном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381A85">
        <w:rPr>
          <w:rFonts w:ascii="Times New Roman" w:hAnsi="Times New Roman"/>
          <w:color w:val="000000"/>
          <w:sz w:val="28"/>
          <w:szCs w:val="28"/>
        </w:rPr>
        <w:t>Законом для ввоза транспортного средства личного пользования на таможенную территорию Донецкой Народной Республики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за вычетом суммы, которая была уплачена гражданином, зарегистрированным и постоянно проживающим на территории Донецкой Народной Республики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при предшествующем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мещении </w:t>
      </w:r>
      <w:r>
        <w:rPr>
          <w:rFonts w:ascii="Times New Roman" w:hAnsi="Times New Roman"/>
          <w:color w:val="000000"/>
          <w:sz w:val="28"/>
          <w:szCs w:val="28"/>
        </w:rPr>
        <w:t>данного</w:t>
      </w:r>
      <w:r w:rsidRPr="00381A85">
        <w:rPr>
          <w:rFonts w:ascii="Times New Roman" w:hAnsi="Times New Roman"/>
          <w:color w:val="000000"/>
          <w:sz w:val="28"/>
          <w:szCs w:val="28"/>
        </w:rPr>
        <w:t xml:space="preserve"> транспортного средства личного пользов</w:t>
      </w:r>
      <w:r>
        <w:rPr>
          <w:rFonts w:ascii="Times New Roman" w:hAnsi="Times New Roman"/>
          <w:color w:val="000000"/>
          <w:sz w:val="28"/>
          <w:szCs w:val="28"/>
        </w:rPr>
        <w:t>ания в таможенный режим временного ввоза.</w:t>
      </w:r>
    </w:p>
    <w:p w:rsidR="00535112" w:rsidRPr="007B05CF" w:rsidRDefault="00535112" w:rsidP="00BC45FE">
      <w:pPr>
        <w:spacing w:before="360"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5CF">
        <w:rPr>
          <w:rFonts w:ascii="Times New Roman" w:hAnsi="Times New Roman"/>
          <w:color w:val="000000"/>
          <w:sz w:val="28"/>
          <w:szCs w:val="28"/>
        </w:rPr>
        <w:t xml:space="preserve">Действие абзаца первого настоящей </w:t>
      </w:r>
      <w:r>
        <w:rPr>
          <w:rFonts w:ascii="Times New Roman" w:hAnsi="Times New Roman"/>
          <w:color w:val="000000"/>
          <w:sz w:val="28"/>
          <w:szCs w:val="28"/>
        </w:rPr>
        <w:t>части</w:t>
      </w:r>
      <w:r w:rsidRPr="007B05CF">
        <w:rPr>
          <w:rFonts w:ascii="Times New Roman" w:hAnsi="Times New Roman"/>
          <w:color w:val="000000"/>
          <w:sz w:val="28"/>
          <w:szCs w:val="28"/>
        </w:rPr>
        <w:t xml:space="preserve"> не распространяется на автомобили, зарегистрированные на территориях государств – членов Евразийского экономического союза, в части уплаты ввозной таможенной пошлины и других налогов (сборов)»;</w:t>
      </w:r>
    </w:p>
    <w:p w:rsidR="00535112" w:rsidRPr="007B05CF" w:rsidRDefault="00535112" w:rsidP="00BC45FE">
      <w:pPr>
        <w:spacing w:before="360"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5CF">
        <w:rPr>
          <w:rFonts w:ascii="Times New Roman" w:hAnsi="Times New Roman"/>
          <w:color w:val="000000"/>
          <w:sz w:val="28"/>
          <w:szCs w:val="28"/>
        </w:rPr>
        <w:t>2) статью 436 дополнить частью 3</w:t>
      </w:r>
      <w:r w:rsidRPr="007B05C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7B05CF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535112" w:rsidRDefault="00535112" w:rsidP="00BC45FE">
      <w:pPr>
        <w:spacing w:before="360"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5CF">
        <w:rPr>
          <w:rFonts w:ascii="Times New Roman" w:hAnsi="Times New Roman"/>
          <w:color w:val="000000"/>
          <w:sz w:val="28"/>
          <w:szCs w:val="28"/>
        </w:rPr>
        <w:t>«3</w:t>
      </w:r>
      <w:r w:rsidRPr="007B05C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7B05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B05CF">
        <w:rPr>
          <w:rFonts w:ascii="Times New Roman" w:hAnsi="Times New Roman"/>
          <w:bCs/>
          <w:sz w:val="28"/>
          <w:szCs w:val="28"/>
        </w:rPr>
        <w:t>До принятия законодательства Донецкой Народной Республики, регулирующего вопросы гражданства, гражданами, зарегистрированными и постоянно проживающими на территории Донецкой Народной Республики</w:t>
      </w:r>
      <w:r w:rsidR="00281968">
        <w:rPr>
          <w:rFonts w:ascii="Times New Roman" w:hAnsi="Times New Roman"/>
          <w:bCs/>
          <w:sz w:val="28"/>
          <w:szCs w:val="28"/>
        </w:rPr>
        <w:t>,</w:t>
      </w:r>
      <w:r w:rsidRPr="007B05CF">
        <w:rPr>
          <w:rFonts w:ascii="Times New Roman" w:hAnsi="Times New Roman"/>
          <w:bCs/>
          <w:sz w:val="28"/>
          <w:szCs w:val="28"/>
        </w:rPr>
        <w:t xml:space="preserve"> в понимании настоящего Закона являются лица, имеющие подтвержденное место жительства </w:t>
      </w:r>
      <w:r>
        <w:rPr>
          <w:rFonts w:ascii="Times New Roman" w:hAnsi="Times New Roman"/>
          <w:bCs/>
          <w:sz w:val="28"/>
          <w:szCs w:val="28"/>
        </w:rPr>
        <w:t>на территории</w:t>
      </w:r>
      <w:r w:rsidRPr="007B05CF">
        <w:rPr>
          <w:rFonts w:ascii="Times New Roman" w:hAnsi="Times New Roman"/>
          <w:bCs/>
          <w:sz w:val="28"/>
          <w:szCs w:val="28"/>
        </w:rPr>
        <w:t xml:space="preserve"> Донецкой Народной Республик</w:t>
      </w:r>
      <w:r>
        <w:rPr>
          <w:rFonts w:ascii="Times New Roman" w:hAnsi="Times New Roman"/>
          <w:bCs/>
          <w:sz w:val="28"/>
          <w:szCs w:val="28"/>
        </w:rPr>
        <w:t>и</w:t>
      </w:r>
      <w:r w:rsidRPr="007B05CF">
        <w:rPr>
          <w:rFonts w:ascii="Times New Roman" w:hAnsi="Times New Roman"/>
          <w:bCs/>
          <w:sz w:val="28"/>
          <w:szCs w:val="28"/>
        </w:rPr>
        <w:t>. Подтверждением такого места жительства является информация о месте регистрации, указанная в паспорте гражданина Донецкой Народной Республики или гражданина Украины 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7B05CF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>)</w:t>
      </w:r>
      <w:r w:rsidRPr="007B05CF">
        <w:rPr>
          <w:rFonts w:ascii="Times New Roman" w:hAnsi="Times New Roman"/>
          <w:bCs/>
          <w:sz w:val="28"/>
          <w:szCs w:val="28"/>
        </w:rPr>
        <w:t xml:space="preserve"> другом документе, выданном компетентным органом </w:t>
      </w:r>
      <w:r w:rsidRPr="007B05CF">
        <w:rPr>
          <w:rFonts w:ascii="Times New Roman" w:hAnsi="Times New Roman"/>
          <w:bCs/>
          <w:sz w:val="28"/>
          <w:szCs w:val="28"/>
        </w:rPr>
        <w:lastRenderedPageBreak/>
        <w:t>Донецкой Народной Республики в соответствии с действующим законодательством</w:t>
      </w:r>
      <w:proofErr w:type="gramStart"/>
      <w:r w:rsidRPr="007B05CF">
        <w:rPr>
          <w:rFonts w:ascii="Times New Roman" w:hAnsi="Times New Roman"/>
          <w:bCs/>
          <w:sz w:val="28"/>
          <w:szCs w:val="28"/>
        </w:rPr>
        <w:t>.»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35112" w:rsidRPr="00BA4592" w:rsidRDefault="00535112" w:rsidP="008F6CFB">
      <w:pPr>
        <w:spacing w:before="360" w:after="36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4592">
        <w:rPr>
          <w:rFonts w:ascii="Times New Roman" w:hAnsi="Times New Roman"/>
          <w:b/>
          <w:color w:val="000000"/>
          <w:sz w:val="28"/>
          <w:szCs w:val="28"/>
        </w:rPr>
        <w:t>Статья 2</w:t>
      </w:r>
    </w:p>
    <w:p w:rsidR="00535112" w:rsidRPr="00381A85" w:rsidRDefault="00535112" w:rsidP="008F6CFB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4592">
        <w:rPr>
          <w:rFonts w:ascii="Times New Roman" w:hAnsi="Times New Roman"/>
          <w:color w:val="000000"/>
          <w:sz w:val="28"/>
          <w:szCs w:val="28"/>
        </w:rPr>
        <w:t>Настоящий Закон вступает в силу с 1 января 2019 года.</w:t>
      </w:r>
    </w:p>
    <w:p w:rsidR="00535112" w:rsidRDefault="00535112" w:rsidP="008F6CFB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F6CFB" w:rsidRDefault="008F6CFB" w:rsidP="008F6CFB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F6CFB" w:rsidRDefault="008F6CFB" w:rsidP="008F6CFB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F6CFB" w:rsidRDefault="008F6CFB" w:rsidP="008F6CFB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F6CFB" w:rsidRPr="009A6783" w:rsidRDefault="008F6CFB" w:rsidP="008F6CFB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9A6783">
        <w:rPr>
          <w:rFonts w:ascii="Times New Roman" w:hAnsi="Times New Roman"/>
          <w:sz w:val="28"/>
          <w:szCs w:val="28"/>
        </w:rPr>
        <w:t xml:space="preserve">Глава </w:t>
      </w:r>
    </w:p>
    <w:p w:rsidR="008F6CFB" w:rsidRPr="009A6783" w:rsidRDefault="008F6CFB" w:rsidP="008F6CFB">
      <w:pPr>
        <w:spacing w:after="120"/>
        <w:ind w:right="-284"/>
        <w:rPr>
          <w:rFonts w:ascii="Times New Roman" w:hAnsi="Times New Roman"/>
          <w:sz w:val="28"/>
          <w:szCs w:val="28"/>
        </w:rPr>
      </w:pPr>
      <w:r w:rsidRPr="009A6783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9A6783">
        <w:rPr>
          <w:rFonts w:ascii="Times New Roman" w:hAnsi="Times New Roman"/>
          <w:sz w:val="28"/>
          <w:szCs w:val="28"/>
        </w:rPr>
        <w:tab/>
      </w:r>
      <w:r w:rsidRPr="009A6783">
        <w:rPr>
          <w:rFonts w:ascii="Times New Roman" w:hAnsi="Times New Roman"/>
          <w:sz w:val="28"/>
          <w:szCs w:val="28"/>
        </w:rPr>
        <w:tab/>
      </w:r>
      <w:r w:rsidRPr="009A6783">
        <w:rPr>
          <w:rFonts w:ascii="Times New Roman" w:hAnsi="Times New Roman"/>
          <w:sz w:val="28"/>
          <w:szCs w:val="28"/>
        </w:rPr>
        <w:tab/>
      </w:r>
      <w:r w:rsidRPr="009A6783">
        <w:rPr>
          <w:rFonts w:ascii="Times New Roman" w:hAnsi="Times New Roman"/>
          <w:sz w:val="28"/>
          <w:szCs w:val="28"/>
        </w:rPr>
        <w:tab/>
      </w:r>
      <w:r w:rsidRPr="009A6783">
        <w:rPr>
          <w:rFonts w:ascii="Times New Roman" w:hAnsi="Times New Roman"/>
          <w:sz w:val="28"/>
          <w:szCs w:val="28"/>
        </w:rPr>
        <w:tab/>
        <w:t>Д.В.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9A6783">
        <w:rPr>
          <w:rFonts w:ascii="Times New Roman" w:hAnsi="Times New Roman"/>
          <w:sz w:val="28"/>
          <w:szCs w:val="28"/>
        </w:rPr>
        <w:t>Пушилин</w:t>
      </w:r>
      <w:proofErr w:type="spellEnd"/>
    </w:p>
    <w:p w:rsidR="008F6CFB" w:rsidRPr="009A6783" w:rsidRDefault="008F6CFB" w:rsidP="008F6CFB">
      <w:pPr>
        <w:spacing w:after="120"/>
        <w:ind w:right="-1"/>
        <w:rPr>
          <w:rFonts w:ascii="Times New Roman" w:hAnsi="Times New Roman"/>
          <w:sz w:val="28"/>
          <w:szCs w:val="28"/>
        </w:rPr>
      </w:pPr>
      <w:r w:rsidRPr="009A6783">
        <w:rPr>
          <w:rFonts w:ascii="Times New Roman" w:hAnsi="Times New Roman"/>
          <w:sz w:val="28"/>
          <w:szCs w:val="28"/>
        </w:rPr>
        <w:t>г. Донецк</w:t>
      </w:r>
    </w:p>
    <w:p w:rsidR="008F6CFB" w:rsidRPr="009A6783" w:rsidRDefault="00281968" w:rsidP="008F6CFB">
      <w:pPr>
        <w:spacing w:after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декабря</w:t>
      </w:r>
      <w:r w:rsidR="008F6CFB" w:rsidRPr="009A6783">
        <w:rPr>
          <w:rFonts w:ascii="Times New Roman" w:hAnsi="Times New Roman"/>
          <w:sz w:val="28"/>
          <w:szCs w:val="28"/>
        </w:rPr>
        <w:t xml:space="preserve"> 2018 года</w:t>
      </w:r>
    </w:p>
    <w:p w:rsidR="008F6CFB" w:rsidRPr="00281968" w:rsidRDefault="008F6CFB" w:rsidP="008F6CFB">
      <w:pPr>
        <w:spacing w:after="120"/>
        <w:ind w:right="-284"/>
        <w:rPr>
          <w:rFonts w:ascii="Times New Roman" w:hAnsi="Times New Roman"/>
          <w:sz w:val="28"/>
          <w:szCs w:val="28"/>
        </w:rPr>
      </w:pPr>
      <w:r w:rsidRPr="009A6783">
        <w:rPr>
          <w:rFonts w:ascii="Times New Roman" w:hAnsi="Times New Roman"/>
          <w:sz w:val="28"/>
          <w:szCs w:val="28"/>
        </w:rPr>
        <w:t xml:space="preserve">№ </w:t>
      </w:r>
      <w:r w:rsidR="00281968">
        <w:rPr>
          <w:rFonts w:ascii="Times New Roman" w:hAnsi="Times New Roman"/>
          <w:sz w:val="28"/>
          <w:szCs w:val="28"/>
        </w:rPr>
        <w:t>06-</w:t>
      </w:r>
      <w:r w:rsidR="00281968">
        <w:rPr>
          <w:rFonts w:ascii="Times New Roman" w:hAnsi="Times New Roman"/>
          <w:sz w:val="28"/>
          <w:szCs w:val="28"/>
          <w:lang w:val="en-US"/>
        </w:rPr>
        <w:t>II</w:t>
      </w:r>
      <w:r w:rsidR="00281968">
        <w:rPr>
          <w:rFonts w:ascii="Times New Roman" w:hAnsi="Times New Roman"/>
          <w:sz w:val="28"/>
          <w:szCs w:val="28"/>
        </w:rPr>
        <w:t>НС</w:t>
      </w:r>
    </w:p>
    <w:p w:rsidR="00535112" w:rsidRPr="00381A85" w:rsidRDefault="001F6835" w:rsidP="008F6CF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3945" y="463550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 descr="http://qrcoder.ru/code/?https%3A%2F%2Fdnrsovet.su%2Fzakonodatelnaya-deyatelnost%2Fprinyatye%2Fzakony%2Fo-vnesenii-izmenenij-v-stati-304-i-436-zakona-donetskoj-narodnoj-respubliki-o-tamozhennom-regulirovanii-v-donetskoj-narodnoj-respublik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nrsovet.su%2Fzakonodatelnaya-deyatelnost%2Fprinyatye%2Fzakony%2Fo-vnesenii-izmenenij-v-stati-304-i-436-zakona-donetskoj-narodnoj-respubliki-o-tamozhennom-regulirovanii-v-donetskoj-narodnoj-respublike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35112" w:rsidRPr="00381A85" w:rsidSect="008F6CFB">
      <w:headerReference w:type="default" r:id="rId10"/>
      <w:headerReference w:type="first" r:id="rId11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E0" w:rsidRDefault="00535EE0" w:rsidP="00BD1ED8">
      <w:pPr>
        <w:spacing w:after="0" w:line="240" w:lineRule="auto"/>
      </w:pPr>
      <w:r>
        <w:separator/>
      </w:r>
    </w:p>
  </w:endnote>
  <w:endnote w:type="continuationSeparator" w:id="0">
    <w:p w:rsidR="00535EE0" w:rsidRDefault="00535EE0" w:rsidP="00BD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E0" w:rsidRDefault="00535EE0" w:rsidP="00BD1ED8">
      <w:pPr>
        <w:spacing w:after="0" w:line="240" w:lineRule="auto"/>
      </w:pPr>
      <w:r>
        <w:separator/>
      </w:r>
    </w:p>
  </w:footnote>
  <w:footnote w:type="continuationSeparator" w:id="0">
    <w:p w:rsidR="00535EE0" w:rsidRDefault="00535EE0" w:rsidP="00BD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2" w:rsidRPr="00386E11" w:rsidRDefault="00345901" w:rsidP="00386E11">
    <w:pPr>
      <w:pStyle w:val="a6"/>
      <w:tabs>
        <w:tab w:val="clear" w:pos="4677"/>
      </w:tabs>
      <w:jc w:val="center"/>
      <w:rPr>
        <w:rFonts w:ascii="Times New Roman" w:hAnsi="Times New Roman"/>
        <w:sz w:val="24"/>
        <w:szCs w:val="24"/>
      </w:rPr>
    </w:pPr>
    <w:r w:rsidRPr="00386E11">
      <w:rPr>
        <w:rFonts w:ascii="Times New Roman" w:hAnsi="Times New Roman"/>
        <w:sz w:val="24"/>
        <w:szCs w:val="24"/>
      </w:rPr>
      <w:fldChar w:fldCharType="begin"/>
    </w:r>
    <w:r w:rsidR="00535112" w:rsidRPr="00386E11">
      <w:rPr>
        <w:rFonts w:ascii="Times New Roman" w:hAnsi="Times New Roman"/>
        <w:sz w:val="24"/>
        <w:szCs w:val="24"/>
      </w:rPr>
      <w:instrText>PAGE   \* MERGEFORMAT</w:instrText>
    </w:r>
    <w:r w:rsidRPr="00386E11">
      <w:rPr>
        <w:rFonts w:ascii="Times New Roman" w:hAnsi="Times New Roman"/>
        <w:sz w:val="24"/>
        <w:szCs w:val="24"/>
      </w:rPr>
      <w:fldChar w:fldCharType="separate"/>
    </w:r>
    <w:r w:rsidR="00C50712">
      <w:rPr>
        <w:rFonts w:ascii="Times New Roman" w:hAnsi="Times New Roman"/>
        <w:noProof/>
        <w:sz w:val="24"/>
        <w:szCs w:val="24"/>
      </w:rPr>
      <w:t>2</w:t>
    </w:r>
    <w:r w:rsidRPr="00386E11">
      <w:rPr>
        <w:rFonts w:ascii="Times New Roman" w:hAnsi="Times New Roman"/>
        <w:sz w:val="24"/>
        <w:szCs w:val="24"/>
      </w:rPr>
      <w:fldChar w:fldCharType="end"/>
    </w:r>
  </w:p>
  <w:p w:rsidR="00535112" w:rsidRDefault="0053511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2" w:rsidRPr="00386E11" w:rsidRDefault="00535112">
    <w:pPr>
      <w:pStyle w:val="a6"/>
      <w:jc w:val="center"/>
      <w:rPr>
        <w:rFonts w:ascii="Times New Roman" w:hAnsi="Times New Roman"/>
        <w:sz w:val="24"/>
      </w:rPr>
    </w:pPr>
  </w:p>
  <w:p w:rsidR="00535112" w:rsidRDefault="005351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6016"/>
    <w:multiLevelType w:val="hybridMultilevel"/>
    <w:tmpl w:val="209C664C"/>
    <w:lvl w:ilvl="0" w:tplc="E05847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A36"/>
    <w:rsid w:val="00052AE0"/>
    <w:rsid w:val="00060439"/>
    <w:rsid w:val="000639B1"/>
    <w:rsid w:val="00074420"/>
    <w:rsid w:val="000C0C62"/>
    <w:rsid w:val="000E2CCD"/>
    <w:rsid w:val="000E621C"/>
    <w:rsid w:val="00123244"/>
    <w:rsid w:val="001721B9"/>
    <w:rsid w:val="001F6835"/>
    <w:rsid w:val="00200F0C"/>
    <w:rsid w:val="00222FE4"/>
    <w:rsid w:val="00231ECB"/>
    <w:rsid w:val="00256094"/>
    <w:rsid w:val="00281968"/>
    <w:rsid w:val="00295709"/>
    <w:rsid w:val="002D372B"/>
    <w:rsid w:val="002E6D53"/>
    <w:rsid w:val="002F0D5C"/>
    <w:rsid w:val="003068D5"/>
    <w:rsid w:val="00307E5F"/>
    <w:rsid w:val="00345901"/>
    <w:rsid w:val="00346EBC"/>
    <w:rsid w:val="00351841"/>
    <w:rsid w:val="00372082"/>
    <w:rsid w:val="00376479"/>
    <w:rsid w:val="00381A85"/>
    <w:rsid w:val="0038336D"/>
    <w:rsid w:val="00386E11"/>
    <w:rsid w:val="003A07EA"/>
    <w:rsid w:val="003E612E"/>
    <w:rsid w:val="003F1A36"/>
    <w:rsid w:val="00413228"/>
    <w:rsid w:val="00413CD3"/>
    <w:rsid w:val="00427DA0"/>
    <w:rsid w:val="0045399D"/>
    <w:rsid w:val="00462C23"/>
    <w:rsid w:val="00464F4E"/>
    <w:rsid w:val="00474276"/>
    <w:rsid w:val="00476853"/>
    <w:rsid w:val="004A7494"/>
    <w:rsid w:val="004B4EB2"/>
    <w:rsid w:val="004C081F"/>
    <w:rsid w:val="004D1A60"/>
    <w:rsid w:val="004E27B8"/>
    <w:rsid w:val="004F4271"/>
    <w:rsid w:val="00530BF1"/>
    <w:rsid w:val="00534500"/>
    <w:rsid w:val="00535112"/>
    <w:rsid w:val="00535EE0"/>
    <w:rsid w:val="0054255F"/>
    <w:rsid w:val="00557EFC"/>
    <w:rsid w:val="005858A5"/>
    <w:rsid w:val="00586FD1"/>
    <w:rsid w:val="005C062F"/>
    <w:rsid w:val="005C13A5"/>
    <w:rsid w:val="005F0A6F"/>
    <w:rsid w:val="00611892"/>
    <w:rsid w:val="006518B0"/>
    <w:rsid w:val="00696B35"/>
    <w:rsid w:val="006A77C8"/>
    <w:rsid w:val="006C099B"/>
    <w:rsid w:val="00711A74"/>
    <w:rsid w:val="00725BE5"/>
    <w:rsid w:val="00741647"/>
    <w:rsid w:val="00755888"/>
    <w:rsid w:val="00787861"/>
    <w:rsid w:val="0079598F"/>
    <w:rsid w:val="007B05CF"/>
    <w:rsid w:val="007B731A"/>
    <w:rsid w:val="007D621D"/>
    <w:rsid w:val="007D62EA"/>
    <w:rsid w:val="00815B80"/>
    <w:rsid w:val="0084310F"/>
    <w:rsid w:val="00845A68"/>
    <w:rsid w:val="00895DC8"/>
    <w:rsid w:val="008C00E9"/>
    <w:rsid w:val="008C384A"/>
    <w:rsid w:val="008C6D75"/>
    <w:rsid w:val="008F5513"/>
    <w:rsid w:val="008F6CFB"/>
    <w:rsid w:val="00926B0F"/>
    <w:rsid w:val="00927FD0"/>
    <w:rsid w:val="00954572"/>
    <w:rsid w:val="00970B9C"/>
    <w:rsid w:val="00994EEE"/>
    <w:rsid w:val="009B474C"/>
    <w:rsid w:val="00A0225D"/>
    <w:rsid w:val="00A0681E"/>
    <w:rsid w:val="00A40D34"/>
    <w:rsid w:val="00A62B9D"/>
    <w:rsid w:val="00A832F8"/>
    <w:rsid w:val="00A85D1C"/>
    <w:rsid w:val="00AB61F4"/>
    <w:rsid w:val="00AC30D9"/>
    <w:rsid w:val="00AD15B5"/>
    <w:rsid w:val="00AD2B93"/>
    <w:rsid w:val="00B2393D"/>
    <w:rsid w:val="00B25EAA"/>
    <w:rsid w:val="00B42E0F"/>
    <w:rsid w:val="00B56E2E"/>
    <w:rsid w:val="00B60693"/>
    <w:rsid w:val="00B80874"/>
    <w:rsid w:val="00BA4592"/>
    <w:rsid w:val="00BA6735"/>
    <w:rsid w:val="00BC45FE"/>
    <w:rsid w:val="00BC776E"/>
    <w:rsid w:val="00BD1ED8"/>
    <w:rsid w:val="00BD2A9B"/>
    <w:rsid w:val="00C16D93"/>
    <w:rsid w:val="00C50712"/>
    <w:rsid w:val="00C8057E"/>
    <w:rsid w:val="00C818A9"/>
    <w:rsid w:val="00C97A51"/>
    <w:rsid w:val="00CC39E6"/>
    <w:rsid w:val="00CC6F90"/>
    <w:rsid w:val="00CD32EC"/>
    <w:rsid w:val="00CE2F00"/>
    <w:rsid w:val="00CE4B90"/>
    <w:rsid w:val="00CE51C0"/>
    <w:rsid w:val="00CF0A0B"/>
    <w:rsid w:val="00D25F20"/>
    <w:rsid w:val="00D34C3A"/>
    <w:rsid w:val="00D562B1"/>
    <w:rsid w:val="00D71AF0"/>
    <w:rsid w:val="00D87E88"/>
    <w:rsid w:val="00DA5032"/>
    <w:rsid w:val="00DD04C5"/>
    <w:rsid w:val="00DE1930"/>
    <w:rsid w:val="00E3315F"/>
    <w:rsid w:val="00E430AD"/>
    <w:rsid w:val="00E47A04"/>
    <w:rsid w:val="00E52B06"/>
    <w:rsid w:val="00E92913"/>
    <w:rsid w:val="00EC6CEF"/>
    <w:rsid w:val="00ED282A"/>
    <w:rsid w:val="00EF0C5B"/>
    <w:rsid w:val="00F31BD4"/>
    <w:rsid w:val="00F37DE5"/>
    <w:rsid w:val="00FA5721"/>
    <w:rsid w:val="00FB0089"/>
    <w:rsid w:val="00FE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D53"/>
    <w:pPr>
      <w:ind w:left="720"/>
      <w:contextualSpacing/>
    </w:pPr>
  </w:style>
  <w:style w:type="paragraph" w:styleId="a4">
    <w:name w:val="No Spacing"/>
    <w:uiPriority w:val="99"/>
    <w:qFormat/>
    <w:rsid w:val="00EC6CEF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8C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D1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D1ED8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BD1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D1ED8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rsid w:val="000E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0E621C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06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D53"/>
    <w:pPr>
      <w:ind w:left="720"/>
      <w:contextualSpacing/>
    </w:pPr>
  </w:style>
  <w:style w:type="paragraph" w:styleId="a4">
    <w:name w:val="No Spacing"/>
    <w:uiPriority w:val="99"/>
    <w:qFormat/>
    <w:rsid w:val="00EC6CEF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8C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D1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D1ED8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BD1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D1ED8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rsid w:val="000E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0E621C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068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r-online.ru/download/o-tamozhennom-regulirovanii-v-donetskoj-narodnoj-respublike-prinyat-postanovleniem-narodnogo-soveta-25-03-2016g-razmeshhen-26-04-2016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Кубра</cp:lastModifiedBy>
  <cp:revision>2</cp:revision>
  <cp:lastPrinted>2018-12-14T12:11:00Z</cp:lastPrinted>
  <dcterms:created xsi:type="dcterms:W3CDTF">2018-12-28T08:41:00Z</dcterms:created>
  <dcterms:modified xsi:type="dcterms:W3CDTF">2018-12-28T08:41:00Z</dcterms:modified>
</cp:coreProperties>
</file>