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78" w:rsidRDefault="001E0465" w:rsidP="00354478">
      <w:pPr>
        <w:tabs>
          <w:tab w:val="left" w:pos="5245"/>
        </w:tabs>
        <w:spacing w:after="0" w:line="240" w:lineRule="auto"/>
        <w:ind w:left="5216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04510B">
        <w:rPr>
          <w:rFonts w:ascii="Times New Roman" w:hAnsi="Times New Roman" w:cs="Times New Roman"/>
          <w:sz w:val="28"/>
          <w:szCs w:val="28"/>
        </w:rPr>
        <w:t>риложение 1</w:t>
      </w:r>
    </w:p>
    <w:p w:rsidR="001E0465" w:rsidRDefault="001E0465" w:rsidP="00354478">
      <w:pPr>
        <w:tabs>
          <w:tab w:val="left" w:pos="5245"/>
        </w:tabs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Pr="000451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составления и предоставления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финансовыми учреждениями отчетности</w:t>
      </w:r>
      <w:r w:rsidRPr="000451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Центральный Республиканский Банк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Донецкой</w:t>
      </w:r>
      <w:r w:rsidRPr="000451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Народной Республики</w:t>
      </w:r>
    </w:p>
    <w:p w:rsidR="001E0465" w:rsidRDefault="001E0465" w:rsidP="00354478">
      <w:pPr>
        <w:tabs>
          <w:tab w:val="left" w:pos="5245"/>
        </w:tabs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(пункт </w:t>
      </w:r>
      <w:r w:rsidR="0039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1E0465" w:rsidRDefault="001E0465" w:rsidP="00354478">
      <w:pPr>
        <w:tabs>
          <w:tab w:val="left" w:pos="1020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465" w:rsidRDefault="001E0465" w:rsidP="00354478">
      <w:pPr>
        <w:tabs>
          <w:tab w:val="left" w:pos="1020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DA">
        <w:rPr>
          <w:rFonts w:ascii="Times New Roman" w:hAnsi="Times New Roman" w:cs="Times New Roman"/>
          <w:b/>
          <w:sz w:val="28"/>
          <w:szCs w:val="28"/>
        </w:rPr>
        <w:t>Перечень форм отчетности, предоставляемы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C76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финансовыми учреждениями </w:t>
      </w:r>
      <w:r w:rsidRPr="005C76DA">
        <w:rPr>
          <w:rFonts w:ascii="Times New Roman" w:hAnsi="Times New Roman" w:cs="Times New Roman"/>
          <w:b/>
          <w:sz w:val="28"/>
          <w:szCs w:val="28"/>
        </w:rPr>
        <w:t>в Центральный Республиканский Банк</w:t>
      </w:r>
    </w:p>
    <w:p w:rsidR="009036D2" w:rsidRPr="0050319B" w:rsidRDefault="00F567F7" w:rsidP="00354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275"/>
        <w:gridCol w:w="2038"/>
        <w:gridCol w:w="2252"/>
        <w:gridCol w:w="2219"/>
      </w:tblGrid>
      <w:tr w:rsidR="001E0465" w:rsidTr="00896BC9">
        <w:trPr>
          <w:trHeight w:val="723"/>
          <w:tblHeader/>
        </w:trPr>
        <w:tc>
          <w:tcPr>
            <w:tcW w:w="561" w:type="dxa"/>
            <w:vAlign w:val="center"/>
          </w:tcPr>
          <w:p w:rsidR="001E0465" w:rsidRPr="005C76DA" w:rsidRDefault="001E0465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5" w:type="dxa"/>
            <w:vAlign w:val="center"/>
          </w:tcPr>
          <w:p w:rsidR="001E0465" w:rsidRPr="005C76DA" w:rsidRDefault="001E0465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формы отчетности</w:t>
            </w:r>
          </w:p>
        </w:tc>
        <w:tc>
          <w:tcPr>
            <w:tcW w:w="2038" w:type="dxa"/>
            <w:vAlign w:val="center"/>
          </w:tcPr>
          <w:p w:rsidR="001E0465" w:rsidRPr="005C76DA" w:rsidRDefault="001E0465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DA">
              <w:rPr>
                <w:rFonts w:ascii="Times New Roman" w:hAnsi="Times New Roman" w:cs="Times New Roman"/>
                <w:b/>
                <w:sz w:val="24"/>
                <w:szCs w:val="24"/>
              </w:rPr>
              <w:t>Срочность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</w:t>
            </w:r>
          </w:p>
        </w:tc>
        <w:tc>
          <w:tcPr>
            <w:tcW w:w="2252" w:type="dxa"/>
            <w:vAlign w:val="center"/>
          </w:tcPr>
          <w:p w:rsidR="001E0465" w:rsidRPr="005C76DA" w:rsidRDefault="001E0465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D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</w:t>
            </w:r>
          </w:p>
        </w:tc>
        <w:tc>
          <w:tcPr>
            <w:tcW w:w="2219" w:type="dxa"/>
            <w:vAlign w:val="center"/>
          </w:tcPr>
          <w:p w:rsidR="001E0465" w:rsidRPr="005C76DA" w:rsidRDefault="001E0465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D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Pr="005C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предоставляет</w:t>
            </w:r>
          </w:p>
        </w:tc>
      </w:tr>
      <w:tr w:rsidR="00354478" w:rsidTr="00896BC9">
        <w:trPr>
          <w:trHeight w:val="352"/>
          <w:tblHeader/>
        </w:trPr>
        <w:tc>
          <w:tcPr>
            <w:tcW w:w="561" w:type="dxa"/>
            <w:vAlign w:val="center"/>
          </w:tcPr>
          <w:p w:rsidR="00354478" w:rsidRPr="005C76DA" w:rsidRDefault="00354478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5" w:type="dxa"/>
            <w:vAlign w:val="center"/>
          </w:tcPr>
          <w:p w:rsidR="00354478" w:rsidRPr="005C76DA" w:rsidRDefault="00354478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8" w:type="dxa"/>
            <w:vAlign w:val="center"/>
          </w:tcPr>
          <w:p w:rsidR="00354478" w:rsidRPr="005C76DA" w:rsidRDefault="00354478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2" w:type="dxa"/>
            <w:vAlign w:val="center"/>
          </w:tcPr>
          <w:p w:rsidR="00354478" w:rsidRPr="005C76DA" w:rsidRDefault="00354478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9" w:type="dxa"/>
            <w:vAlign w:val="center"/>
          </w:tcPr>
          <w:p w:rsidR="00354478" w:rsidRPr="005C76DA" w:rsidRDefault="00354478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7534D" w:rsidTr="0050319B">
        <w:trPr>
          <w:trHeight w:val="1561"/>
        </w:trPr>
        <w:tc>
          <w:tcPr>
            <w:tcW w:w="561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0101. Информация о курсах и объемах операций с наличной валютой</w:t>
            </w:r>
            <w:r w:rsidRPr="005C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</w:t>
            </w:r>
            <w:r w:rsidRPr="005C76DA">
              <w:rPr>
                <w:rFonts w:ascii="Times New Roman" w:hAnsi="Times New Roman" w:cs="Times New Roman"/>
                <w:sz w:val="24"/>
                <w:szCs w:val="24"/>
              </w:rPr>
              <w:t>есячная</w:t>
            </w:r>
          </w:p>
        </w:tc>
        <w:tc>
          <w:tcPr>
            <w:tcW w:w="2252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6D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десятого</w:t>
            </w:r>
            <w:r w:rsidRPr="005C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5C76DA">
              <w:rPr>
                <w:rFonts w:ascii="Times New Roman" w:hAnsi="Times New Roman" w:cs="Times New Roman"/>
                <w:sz w:val="24"/>
                <w:szCs w:val="24"/>
              </w:rPr>
              <w:t xml:space="preserve"> месяца, следующего за отчетным</w:t>
            </w:r>
          </w:p>
        </w:tc>
        <w:tc>
          <w:tcPr>
            <w:tcW w:w="2219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учреждения, предоставляющие услуги по обмену наличных валют </w:t>
            </w:r>
          </w:p>
        </w:tc>
      </w:tr>
      <w:tr w:rsidR="0017534D" w:rsidTr="0050319B">
        <w:trPr>
          <w:trHeight w:val="3398"/>
        </w:trPr>
        <w:tc>
          <w:tcPr>
            <w:tcW w:w="561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0201. Отчет о составе активов и пассивов ломбарда</w:t>
            </w:r>
          </w:p>
        </w:tc>
        <w:tc>
          <w:tcPr>
            <w:tcW w:w="2038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Ежеквартальная</w:t>
            </w:r>
          </w:p>
        </w:tc>
        <w:tc>
          <w:tcPr>
            <w:tcW w:w="2252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двадцатого числа </w:t>
            </w:r>
            <w:r w:rsidRPr="006B451F">
              <w:rPr>
                <w:rFonts w:ascii="Times New Roman" w:hAnsi="Times New Roman" w:cs="Times New Roman"/>
                <w:bCs/>
                <w:sz w:val="24"/>
                <w:szCs w:val="24"/>
              </w:rPr>
              <w:t>месяца, следующего за отчетным кварталом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Отчет, составленный по результатам отчетного года – до двадцатого февраля года, следующего за отчетным</w:t>
            </w:r>
          </w:p>
        </w:tc>
        <w:tc>
          <w:tcPr>
            <w:tcW w:w="2219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учреждения, предоставляющие услуги ломбарда</w:t>
            </w:r>
          </w:p>
        </w:tc>
      </w:tr>
      <w:tr w:rsidR="0017534D" w:rsidTr="0050319B">
        <w:trPr>
          <w:trHeight w:val="2809"/>
        </w:trPr>
        <w:tc>
          <w:tcPr>
            <w:tcW w:w="561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0202. Отчет о деятельности ломбарда </w:t>
            </w:r>
          </w:p>
        </w:tc>
        <w:tc>
          <w:tcPr>
            <w:tcW w:w="2038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Ежеквартальная</w:t>
            </w:r>
          </w:p>
        </w:tc>
        <w:tc>
          <w:tcPr>
            <w:tcW w:w="2252" w:type="dxa"/>
          </w:tcPr>
          <w:p w:rsidR="0017534D" w:rsidRDefault="0017534D" w:rsidP="00896BC9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двадцатого числа </w:t>
            </w:r>
            <w:r w:rsidRPr="006B451F">
              <w:rPr>
                <w:rFonts w:ascii="Times New Roman" w:hAnsi="Times New Roman" w:cs="Times New Roman"/>
                <w:bCs/>
                <w:sz w:val="24"/>
                <w:szCs w:val="24"/>
              </w:rPr>
              <w:t>месяца, следующего за отчетным кварталом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Отчет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501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 – до двадцатого февраля года, следующего за отчетным</w:t>
            </w:r>
          </w:p>
        </w:tc>
        <w:tc>
          <w:tcPr>
            <w:tcW w:w="2219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учреждения, предоставляющие услуги ломбарда</w:t>
            </w:r>
          </w:p>
        </w:tc>
      </w:tr>
      <w:tr w:rsidR="0017534D" w:rsidTr="0050319B">
        <w:trPr>
          <w:trHeight w:val="1768"/>
        </w:trPr>
        <w:tc>
          <w:tcPr>
            <w:tcW w:w="561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 xml:space="preserve">Форма 0203. Отчет о наличии задолженности по финансовым кредитам, не возвращенным в </w:t>
            </w:r>
            <w:r w:rsidRPr="00106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срок, указанный в договоре </w:t>
            </w:r>
          </w:p>
        </w:tc>
        <w:tc>
          <w:tcPr>
            <w:tcW w:w="2038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Ежеквартальная</w:t>
            </w:r>
          </w:p>
        </w:tc>
        <w:tc>
          <w:tcPr>
            <w:tcW w:w="2252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двадцатого числа </w:t>
            </w:r>
            <w:r w:rsidRPr="006B451F">
              <w:rPr>
                <w:rFonts w:ascii="Times New Roman" w:hAnsi="Times New Roman" w:cs="Times New Roman"/>
                <w:bCs/>
                <w:sz w:val="24"/>
                <w:szCs w:val="24"/>
              </w:rPr>
              <w:t>месяца, следующего за отчетным кварталом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Отчет,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составленный по результатам текущего года – до двадцатого февраля года, следующего за отчетным</w:t>
            </w:r>
          </w:p>
        </w:tc>
        <w:tc>
          <w:tcPr>
            <w:tcW w:w="2219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Финансовые учреждения, предоставляющие услуги ломбарда</w:t>
            </w:r>
          </w:p>
        </w:tc>
      </w:tr>
      <w:tr w:rsidR="0017534D" w:rsidTr="00896BC9">
        <w:trPr>
          <w:trHeight w:val="4288"/>
        </w:trPr>
        <w:tc>
          <w:tcPr>
            <w:tcW w:w="561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>Форма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 xml:space="preserve">. Отчет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составе активов и пассивов финансового учреждения</w:t>
            </w:r>
          </w:p>
        </w:tc>
        <w:tc>
          <w:tcPr>
            <w:tcW w:w="2038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</w:t>
            </w:r>
          </w:p>
        </w:tc>
        <w:tc>
          <w:tcPr>
            <w:tcW w:w="2252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десятого числа </w:t>
            </w:r>
            <w:r w:rsidRPr="006B451F">
              <w:rPr>
                <w:rFonts w:ascii="Times New Roman" w:hAnsi="Times New Roman" w:cs="Times New Roman"/>
                <w:bCs/>
                <w:sz w:val="24"/>
                <w:szCs w:val="24"/>
              </w:rPr>
              <w:t>месяца, следующего за отчетным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учреждения, которые предоставляют услуги по предоставлению финансовых кредитов юридическим и физическим лицам за счет собственных денежных средств, в том числе услуги ломбардов</w:t>
            </w:r>
          </w:p>
        </w:tc>
      </w:tr>
      <w:tr w:rsidR="0017534D" w:rsidTr="00896BC9">
        <w:trPr>
          <w:trHeight w:val="4236"/>
        </w:trPr>
        <w:tc>
          <w:tcPr>
            <w:tcW w:w="561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>Форма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 xml:space="preserve">. Отчет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финансового учреждения</w:t>
            </w: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Ежеквартальная</w:t>
            </w:r>
          </w:p>
        </w:tc>
        <w:tc>
          <w:tcPr>
            <w:tcW w:w="2252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десятого числа </w:t>
            </w:r>
            <w:r w:rsidRPr="006B451F">
              <w:rPr>
                <w:rFonts w:ascii="Times New Roman" w:hAnsi="Times New Roman" w:cs="Times New Roman"/>
                <w:bCs/>
                <w:sz w:val="24"/>
                <w:szCs w:val="24"/>
              </w:rPr>
              <w:t>месяца, следующего за отчетным кварталом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Отчет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C35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 – до двадцатого февраля года, следующего за отчетным</w:t>
            </w:r>
          </w:p>
        </w:tc>
        <w:tc>
          <w:tcPr>
            <w:tcW w:w="2219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учреждения, которые предоставляют услуги по предоставлению финансовых кредитов юридическим и физическим лицам за счет собственных денежных средств, в том числе услуги ломбардов </w:t>
            </w:r>
          </w:p>
        </w:tc>
      </w:tr>
      <w:tr w:rsidR="0017534D" w:rsidTr="001F5A62">
        <w:trPr>
          <w:trHeight w:val="1810"/>
        </w:trPr>
        <w:tc>
          <w:tcPr>
            <w:tcW w:w="561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>Форма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Данные о крупных финансовых кредитах</w:t>
            </w:r>
          </w:p>
        </w:tc>
        <w:tc>
          <w:tcPr>
            <w:tcW w:w="2038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</w:t>
            </w:r>
          </w:p>
        </w:tc>
        <w:tc>
          <w:tcPr>
            <w:tcW w:w="2252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десятого числа </w:t>
            </w:r>
            <w:r w:rsidRPr="006B451F">
              <w:rPr>
                <w:rFonts w:ascii="Times New Roman" w:hAnsi="Times New Roman" w:cs="Times New Roman"/>
                <w:bCs/>
                <w:sz w:val="24"/>
                <w:szCs w:val="24"/>
              </w:rPr>
              <w:t>месяца, следующего за отчетным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учреждения, которые предоставляют услуги по предоставлению финансовых кредитов юридическим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физическим лицам за счет собственных денежных средств, в том числе услуги ломбардов </w:t>
            </w:r>
          </w:p>
        </w:tc>
      </w:tr>
      <w:tr w:rsidR="0017534D" w:rsidTr="00896BC9">
        <w:trPr>
          <w:trHeight w:val="1831"/>
        </w:trPr>
        <w:tc>
          <w:tcPr>
            <w:tcW w:w="561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75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>Форма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 xml:space="preserve">.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отдельным вопросам в сфере финансового мониторинга</w:t>
            </w:r>
          </w:p>
        </w:tc>
        <w:tc>
          <w:tcPr>
            <w:tcW w:w="2038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Ежеквартальная</w:t>
            </w:r>
          </w:p>
        </w:tc>
        <w:tc>
          <w:tcPr>
            <w:tcW w:w="2252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двадцатого числа </w:t>
            </w:r>
            <w:r w:rsidRPr="006B451F">
              <w:rPr>
                <w:rFonts w:ascii="Times New Roman" w:hAnsi="Times New Roman" w:cs="Times New Roman"/>
                <w:bCs/>
                <w:sz w:val="24"/>
                <w:szCs w:val="24"/>
              </w:rPr>
              <w:t>месяца, следующего за отчетным кварталом</w:t>
            </w:r>
          </w:p>
        </w:tc>
        <w:tc>
          <w:tcPr>
            <w:tcW w:w="2219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учреждения</w:t>
            </w:r>
          </w:p>
        </w:tc>
      </w:tr>
    </w:tbl>
    <w:p w:rsidR="001E0465" w:rsidRPr="00FC576D" w:rsidRDefault="001E0465" w:rsidP="00896B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534D" w:rsidRPr="00FC576D" w:rsidRDefault="0017534D" w:rsidP="00896B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534D" w:rsidRPr="00FC576D" w:rsidRDefault="0017534D" w:rsidP="00896B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534D" w:rsidRPr="00FC576D" w:rsidRDefault="0017534D" w:rsidP="00896BC9">
      <w:pPr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76D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:rsidR="0017534D" w:rsidRDefault="0017534D" w:rsidP="00896BC9">
      <w:pPr>
        <w:tabs>
          <w:tab w:val="left" w:pos="7088"/>
        </w:tabs>
        <w:spacing w:after="0" w:line="240" w:lineRule="auto"/>
        <w:contextualSpacing/>
      </w:pPr>
      <w:r w:rsidRPr="00FC576D">
        <w:rPr>
          <w:rFonts w:ascii="Times New Roman" w:hAnsi="Times New Roman" w:cs="Times New Roman"/>
          <w:b/>
          <w:sz w:val="28"/>
          <w:szCs w:val="28"/>
        </w:rPr>
        <w:t>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F32D4">
        <w:rPr>
          <w:rFonts w:ascii="Times New Roman" w:hAnsi="Times New Roman" w:cs="Times New Roman"/>
          <w:b/>
          <w:sz w:val="28"/>
          <w:szCs w:val="28"/>
        </w:rPr>
        <w:tab/>
        <w:t>Ю.А. Дмитренко</w:t>
      </w:r>
    </w:p>
    <w:sectPr w:rsidR="0017534D" w:rsidSect="0035447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7F7" w:rsidRDefault="00F567F7" w:rsidP="00F53078">
      <w:pPr>
        <w:spacing w:after="0" w:line="240" w:lineRule="auto"/>
      </w:pPr>
      <w:r>
        <w:separator/>
      </w:r>
    </w:p>
  </w:endnote>
  <w:endnote w:type="continuationSeparator" w:id="0">
    <w:p w:rsidR="00F567F7" w:rsidRDefault="00F567F7" w:rsidP="00F5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7F7" w:rsidRDefault="00F567F7" w:rsidP="00F53078">
      <w:pPr>
        <w:spacing w:after="0" w:line="240" w:lineRule="auto"/>
      </w:pPr>
      <w:r>
        <w:separator/>
      </w:r>
    </w:p>
  </w:footnote>
  <w:footnote w:type="continuationSeparator" w:id="0">
    <w:p w:rsidR="00F567F7" w:rsidRDefault="00F567F7" w:rsidP="00F5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28726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3078" w:rsidRDefault="00F53078" w:rsidP="00F53078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530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30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30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5A6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53078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ab/>
        </w:r>
      </w:p>
      <w:p w:rsidR="00F53078" w:rsidRPr="00F53078" w:rsidRDefault="00F53078" w:rsidP="00F53078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1</w:t>
        </w:r>
      </w:p>
    </w:sdtContent>
  </w:sdt>
  <w:p w:rsidR="00F53078" w:rsidRDefault="00F530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465"/>
    <w:rsid w:val="0017534D"/>
    <w:rsid w:val="001E0465"/>
    <w:rsid w:val="001F5A62"/>
    <w:rsid w:val="002671F4"/>
    <w:rsid w:val="00354478"/>
    <w:rsid w:val="003966A2"/>
    <w:rsid w:val="0050319B"/>
    <w:rsid w:val="006F6501"/>
    <w:rsid w:val="00762AD6"/>
    <w:rsid w:val="00896BC9"/>
    <w:rsid w:val="009971DA"/>
    <w:rsid w:val="00A93885"/>
    <w:rsid w:val="00AA3EE7"/>
    <w:rsid w:val="00AF32D4"/>
    <w:rsid w:val="00B04F67"/>
    <w:rsid w:val="00B90846"/>
    <w:rsid w:val="00BE4711"/>
    <w:rsid w:val="00BF2100"/>
    <w:rsid w:val="00C87D59"/>
    <w:rsid w:val="00E72E17"/>
    <w:rsid w:val="00EC492C"/>
    <w:rsid w:val="00F53078"/>
    <w:rsid w:val="00F567F7"/>
    <w:rsid w:val="00F74DB2"/>
    <w:rsid w:val="00FC576D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03D63-2E06-485B-90C9-60ECBD45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078"/>
  </w:style>
  <w:style w:type="paragraph" w:styleId="a6">
    <w:name w:val="footer"/>
    <w:basedOn w:val="a"/>
    <w:link w:val="a7"/>
    <w:uiPriority w:val="99"/>
    <w:unhideWhenUsed/>
    <w:rsid w:val="00F5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Пользователь</cp:lastModifiedBy>
  <cp:revision>2</cp:revision>
  <dcterms:created xsi:type="dcterms:W3CDTF">2019-01-16T14:41:00Z</dcterms:created>
  <dcterms:modified xsi:type="dcterms:W3CDTF">2019-01-16T14:41:00Z</dcterms:modified>
</cp:coreProperties>
</file>