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30F" w:rsidRDefault="009852B3" w:rsidP="0026180F">
      <w:pPr>
        <w:pStyle w:val="10"/>
        <w:keepNext/>
        <w:keepLines/>
        <w:spacing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A4030F" w:rsidRDefault="009852B3" w:rsidP="0026180F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26180F" w:rsidRDefault="0026180F" w:rsidP="0026180F">
      <w:pPr>
        <w:pStyle w:val="10"/>
        <w:keepNext/>
        <w:keepLines/>
        <w:spacing w:after="0" w:line="276" w:lineRule="auto"/>
      </w:pPr>
    </w:p>
    <w:p w:rsidR="00A4030F" w:rsidRDefault="009852B3" w:rsidP="0026180F">
      <w:pPr>
        <w:pStyle w:val="20"/>
        <w:keepNext/>
        <w:keepLines/>
        <w:spacing w:before="0" w:after="0" w:line="276" w:lineRule="auto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26180F" w:rsidRDefault="0026180F" w:rsidP="0026180F">
      <w:pPr>
        <w:pStyle w:val="20"/>
        <w:keepNext/>
        <w:keepLines/>
        <w:spacing w:before="0" w:after="0" w:line="276" w:lineRule="auto"/>
      </w:pPr>
    </w:p>
    <w:p w:rsidR="00A4030F" w:rsidRDefault="009852B3" w:rsidP="0026180F">
      <w:pPr>
        <w:pStyle w:val="23"/>
        <w:spacing w:before="0" w:after="0" w:line="276" w:lineRule="auto"/>
        <w:ind w:right="20"/>
        <w:rPr>
          <w:rStyle w:val="24"/>
          <w:b/>
          <w:bCs/>
        </w:rPr>
      </w:pPr>
      <w:r>
        <w:rPr>
          <w:rStyle w:val="24"/>
          <w:b/>
          <w:bCs/>
        </w:rPr>
        <w:t>от 10 марта 2017 г. № 3-3</w:t>
      </w:r>
    </w:p>
    <w:p w:rsidR="0026180F" w:rsidRDefault="0026180F" w:rsidP="0026180F">
      <w:pPr>
        <w:pStyle w:val="23"/>
        <w:spacing w:before="0" w:after="0" w:line="276" w:lineRule="auto"/>
        <w:ind w:right="20"/>
        <w:rPr>
          <w:rStyle w:val="24"/>
          <w:b/>
          <w:bCs/>
        </w:rPr>
      </w:pPr>
    </w:p>
    <w:p w:rsidR="0026180F" w:rsidRDefault="0026180F" w:rsidP="0026180F">
      <w:pPr>
        <w:pStyle w:val="23"/>
        <w:spacing w:before="0" w:after="0" w:line="276" w:lineRule="auto"/>
        <w:ind w:right="20"/>
      </w:pPr>
    </w:p>
    <w:p w:rsidR="00A4030F" w:rsidRDefault="009852B3" w:rsidP="0026180F">
      <w:pPr>
        <w:pStyle w:val="23"/>
        <w:spacing w:before="0" w:after="0" w:line="276" w:lineRule="auto"/>
        <w:ind w:right="20" w:firstLine="580"/>
        <w:rPr>
          <w:rStyle w:val="24"/>
          <w:b/>
          <w:bCs/>
        </w:rPr>
      </w:pPr>
      <w:r>
        <w:rPr>
          <w:rStyle w:val="24"/>
          <w:b/>
          <w:bCs/>
        </w:rPr>
        <w:t xml:space="preserve">Об утверждении Порядка включения суммы лицензионных платежей в цену, фактически уплаченную или подлежащую уплате за оцениваемые товары при определении их таможенной </w:t>
      </w:r>
      <w:r>
        <w:rPr>
          <w:rStyle w:val="24"/>
          <w:b/>
          <w:bCs/>
        </w:rPr>
        <w:t>стоимости</w:t>
      </w:r>
    </w:p>
    <w:p w:rsidR="0026180F" w:rsidRDefault="0026180F" w:rsidP="0026180F">
      <w:pPr>
        <w:pStyle w:val="23"/>
        <w:spacing w:before="0" w:after="0" w:line="276" w:lineRule="auto"/>
        <w:ind w:left="160" w:right="20" w:firstLine="580"/>
        <w:jc w:val="left"/>
        <w:rPr>
          <w:rStyle w:val="24"/>
          <w:b/>
          <w:bCs/>
        </w:rPr>
      </w:pPr>
    </w:p>
    <w:p w:rsidR="0026180F" w:rsidRDefault="0026180F" w:rsidP="0026180F">
      <w:pPr>
        <w:pStyle w:val="23"/>
        <w:spacing w:before="0" w:after="0" w:line="276" w:lineRule="auto"/>
        <w:ind w:left="160" w:right="20" w:firstLine="580"/>
        <w:jc w:val="left"/>
      </w:pPr>
    </w:p>
    <w:p w:rsidR="00B50E85" w:rsidRDefault="009852B3" w:rsidP="0026180F">
      <w:pPr>
        <w:pStyle w:val="25"/>
        <w:spacing w:before="0" w:after="0" w:line="276" w:lineRule="auto"/>
        <w:ind w:left="20" w:right="20" w:firstLine="720"/>
        <w:rPr>
          <w:rStyle w:val="12"/>
        </w:rPr>
      </w:pPr>
      <w:r>
        <w:rPr>
          <w:rStyle w:val="12"/>
        </w:rPr>
        <w:t xml:space="preserve">С целью реализации таможенной политики Донецкой Народной Республики, руководствуясь статьёй 252 Закона Донецкой Народной Республики от 25 марта 2016 г. № </w:t>
      </w:r>
      <w:r w:rsidRPr="00595D5A">
        <w:rPr>
          <w:rStyle w:val="12"/>
          <w:lang w:eastAsia="en-US" w:bidi="en-US"/>
        </w:rPr>
        <w:t>116-</w:t>
      </w:r>
      <w:r>
        <w:rPr>
          <w:rStyle w:val="12"/>
          <w:lang w:val="en-US" w:eastAsia="en-US" w:bidi="en-US"/>
        </w:rPr>
        <w:t>IHC</w:t>
      </w:r>
      <w:r w:rsidRPr="00595D5A">
        <w:rPr>
          <w:rStyle w:val="12"/>
          <w:lang w:eastAsia="en-US" w:bidi="en-US"/>
        </w:rPr>
        <w:t xml:space="preserve"> </w:t>
      </w:r>
      <w:r>
        <w:rPr>
          <w:rStyle w:val="12"/>
        </w:rPr>
        <w:t>«О таможенном регулировании в Донецкой Народной Республике», Совет Министров Донецко</w:t>
      </w:r>
      <w:r>
        <w:rPr>
          <w:rStyle w:val="12"/>
        </w:rPr>
        <w:t xml:space="preserve">й Народной Республики </w:t>
      </w:r>
    </w:p>
    <w:p w:rsidR="00A4030F" w:rsidRDefault="009852B3" w:rsidP="0026180F">
      <w:pPr>
        <w:pStyle w:val="25"/>
        <w:spacing w:before="0" w:after="0" w:line="276" w:lineRule="auto"/>
        <w:ind w:left="20" w:right="20" w:firstLine="720"/>
        <w:rPr>
          <w:rStyle w:val="a5"/>
        </w:rPr>
      </w:pPr>
      <w:r>
        <w:rPr>
          <w:rStyle w:val="a5"/>
        </w:rPr>
        <w:t>ПОСТАНОВЛЯЕТ:</w:t>
      </w:r>
    </w:p>
    <w:p w:rsidR="00B50E85" w:rsidRDefault="00B50E85" w:rsidP="0026180F">
      <w:pPr>
        <w:pStyle w:val="25"/>
        <w:spacing w:before="0" w:after="0" w:line="276" w:lineRule="auto"/>
        <w:ind w:left="20" w:right="20" w:firstLine="720"/>
      </w:pPr>
    </w:p>
    <w:p w:rsidR="00A4030F" w:rsidRDefault="009852B3" w:rsidP="00B50E85">
      <w:pPr>
        <w:pStyle w:val="25"/>
        <w:numPr>
          <w:ilvl w:val="0"/>
          <w:numId w:val="1"/>
        </w:numPr>
        <w:spacing w:before="120" w:after="120" w:line="276" w:lineRule="auto"/>
        <w:ind w:left="23" w:right="23" w:firstLine="720"/>
      </w:pPr>
      <w:r>
        <w:rPr>
          <w:rStyle w:val="12"/>
        </w:rPr>
        <w:t xml:space="preserve"> Утвердить Порядок включения суммы лицензионных платежей в цену, фактически уплаченную или подлежащую уплате за оцениваемые товары при определении их таможенной стоимости (прилагается).</w:t>
      </w:r>
    </w:p>
    <w:p w:rsidR="00A4030F" w:rsidRDefault="009852B3" w:rsidP="00B50E85">
      <w:pPr>
        <w:pStyle w:val="25"/>
        <w:numPr>
          <w:ilvl w:val="0"/>
          <w:numId w:val="1"/>
        </w:numPr>
        <w:spacing w:before="120" w:after="120" w:line="276" w:lineRule="auto"/>
        <w:ind w:left="23" w:right="23" w:firstLine="720"/>
        <w:rPr>
          <w:rStyle w:val="12"/>
        </w:rPr>
      </w:pPr>
      <w:r>
        <w:rPr>
          <w:rStyle w:val="12"/>
        </w:rPr>
        <w:t xml:space="preserve"> Настоящее Постановление вступает </w:t>
      </w:r>
      <w:r>
        <w:rPr>
          <w:rStyle w:val="12"/>
        </w:rPr>
        <w:t>в силу со дня официального опубликования.</w:t>
      </w:r>
    </w:p>
    <w:p w:rsidR="00B50E85" w:rsidRDefault="00B50E85" w:rsidP="00B50E85">
      <w:pPr>
        <w:pStyle w:val="25"/>
        <w:spacing w:before="0" w:after="0" w:line="276" w:lineRule="auto"/>
        <w:ind w:right="20"/>
        <w:rPr>
          <w:rStyle w:val="12"/>
        </w:rPr>
      </w:pPr>
    </w:p>
    <w:p w:rsidR="00B50E85" w:rsidRDefault="00B50E85" w:rsidP="00B50E85">
      <w:pPr>
        <w:pStyle w:val="25"/>
        <w:spacing w:before="0" w:after="0" w:line="276" w:lineRule="auto"/>
        <w:ind w:right="20"/>
        <w:rPr>
          <w:rStyle w:val="12"/>
        </w:rPr>
      </w:pPr>
    </w:p>
    <w:p w:rsidR="00B50E85" w:rsidRDefault="00B50E85" w:rsidP="00B50E85">
      <w:pPr>
        <w:pStyle w:val="25"/>
        <w:spacing w:before="0" w:after="0" w:line="276" w:lineRule="auto"/>
        <w:ind w:right="20"/>
        <w:rPr>
          <w:rStyle w:val="12"/>
        </w:rPr>
      </w:pPr>
    </w:p>
    <w:p w:rsidR="00B50E85" w:rsidRPr="00B50E85" w:rsidRDefault="00B50E85" w:rsidP="00B50E85">
      <w:pPr>
        <w:pStyle w:val="25"/>
        <w:spacing w:before="0" w:after="0" w:line="276" w:lineRule="auto"/>
        <w:ind w:right="20"/>
        <w:rPr>
          <w:rStyle w:val="12"/>
          <w:b/>
        </w:rPr>
      </w:pPr>
      <w:r w:rsidRPr="00B50E85">
        <w:rPr>
          <w:rStyle w:val="12"/>
          <w:b/>
        </w:rPr>
        <w:t xml:space="preserve">Председатель </w:t>
      </w:r>
    </w:p>
    <w:p w:rsidR="00B50E85" w:rsidRPr="00B50E85" w:rsidRDefault="00B50E85" w:rsidP="00B50E85">
      <w:pPr>
        <w:pStyle w:val="25"/>
        <w:spacing w:before="0" w:after="0" w:line="276" w:lineRule="auto"/>
        <w:ind w:right="20"/>
        <w:rPr>
          <w:rStyle w:val="12"/>
          <w:b/>
        </w:rPr>
      </w:pPr>
      <w:r w:rsidRPr="00B50E85">
        <w:rPr>
          <w:rStyle w:val="12"/>
          <w:b/>
        </w:rPr>
        <w:t xml:space="preserve">Совета Министров        </w:t>
      </w:r>
      <w:r>
        <w:rPr>
          <w:rStyle w:val="12"/>
          <w:b/>
        </w:rPr>
        <w:t xml:space="preserve">                                                       </w:t>
      </w:r>
      <w:r w:rsidRPr="00B50E85">
        <w:rPr>
          <w:rStyle w:val="12"/>
          <w:b/>
        </w:rPr>
        <w:t xml:space="preserve">              А. В. Захарченко </w:t>
      </w:r>
    </w:p>
    <w:p w:rsidR="00B50E85" w:rsidRPr="00B50E85" w:rsidRDefault="00B50E85" w:rsidP="00B50E85">
      <w:pPr>
        <w:pStyle w:val="25"/>
        <w:spacing w:before="0" w:after="0" w:line="276" w:lineRule="auto"/>
        <w:ind w:right="20"/>
        <w:rPr>
          <w:rStyle w:val="12"/>
          <w:b/>
        </w:rPr>
      </w:pPr>
    </w:p>
    <w:p w:rsidR="00B50E85" w:rsidRDefault="00B50E85" w:rsidP="00B50E85">
      <w:pPr>
        <w:pStyle w:val="25"/>
        <w:spacing w:before="0" w:after="0" w:line="276" w:lineRule="auto"/>
        <w:ind w:right="20"/>
        <w:rPr>
          <w:rStyle w:val="12"/>
        </w:rPr>
      </w:pPr>
    </w:p>
    <w:p w:rsidR="00B50E85" w:rsidRDefault="00B50E85" w:rsidP="00B50E85">
      <w:pPr>
        <w:pStyle w:val="25"/>
        <w:spacing w:before="0" w:after="0" w:line="276" w:lineRule="auto"/>
        <w:ind w:right="20"/>
        <w:rPr>
          <w:rStyle w:val="12"/>
        </w:rPr>
      </w:pPr>
    </w:p>
    <w:p w:rsidR="00B50E85" w:rsidRDefault="00B50E85" w:rsidP="00B50E85">
      <w:pPr>
        <w:pStyle w:val="25"/>
        <w:spacing w:before="0" w:after="0" w:line="276" w:lineRule="auto"/>
        <w:ind w:right="20"/>
        <w:rPr>
          <w:rStyle w:val="12"/>
        </w:rPr>
      </w:pPr>
    </w:p>
    <w:p w:rsidR="00B50E85" w:rsidRDefault="00B50E85" w:rsidP="00B50E85">
      <w:pPr>
        <w:pStyle w:val="25"/>
        <w:spacing w:before="0" w:after="0" w:line="276" w:lineRule="auto"/>
        <w:ind w:right="20"/>
        <w:rPr>
          <w:rStyle w:val="12"/>
        </w:rPr>
      </w:pPr>
    </w:p>
    <w:p w:rsidR="00B50E85" w:rsidRDefault="00B50E85" w:rsidP="00B50E85">
      <w:pPr>
        <w:pStyle w:val="25"/>
        <w:spacing w:before="0" w:after="0" w:line="276" w:lineRule="auto"/>
        <w:ind w:right="20"/>
        <w:rPr>
          <w:rStyle w:val="12"/>
        </w:rPr>
      </w:pPr>
    </w:p>
    <w:p w:rsidR="00B50E85" w:rsidRDefault="00B50E85" w:rsidP="00B50E85">
      <w:pPr>
        <w:pStyle w:val="25"/>
        <w:spacing w:before="0" w:after="0" w:line="276" w:lineRule="auto"/>
        <w:ind w:right="20"/>
        <w:rPr>
          <w:rStyle w:val="12"/>
        </w:rPr>
      </w:pPr>
    </w:p>
    <w:p w:rsidR="00B50E85" w:rsidRDefault="00B50E85" w:rsidP="00B50E85">
      <w:pPr>
        <w:pStyle w:val="25"/>
        <w:spacing w:before="0" w:after="0" w:line="276" w:lineRule="auto"/>
        <w:ind w:right="20"/>
        <w:rPr>
          <w:rStyle w:val="12"/>
        </w:rPr>
      </w:pPr>
    </w:p>
    <w:p w:rsidR="00A4030F" w:rsidRDefault="009852B3" w:rsidP="0026180F">
      <w:pPr>
        <w:pStyle w:val="25"/>
        <w:spacing w:before="0" w:after="0" w:line="276" w:lineRule="auto"/>
        <w:ind w:left="5660" w:right="40"/>
        <w:jc w:val="left"/>
      </w:pPr>
      <w:r>
        <w:lastRenderedPageBreak/>
        <w:t>УТВЕРЖДЕНО</w:t>
      </w:r>
    </w:p>
    <w:p w:rsidR="00A4030F" w:rsidRDefault="009852B3" w:rsidP="0026180F">
      <w:pPr>
        <w:pStyle w:val="25"/>
        <w:spacing w:before="0" w:after="0" w:line="276" w:lineRule="auto"/>
        <w:ind w:left="5660" w:right="40"/>
        <w:jc w:val="left"/>
      </w:pPr>
      <w:r>
        <w:t>Постановлением</w:t>
      </w:r>
    </w:p>
    <w:p w:rsidR="00A4030F" w:rsidRDefault="009852B3" w:rsidP="0026180F">
      <w:pPr>
        <w:pStyle w:val="25"/>
        <w:spacing w:before="0" w:after="0" w:line="276" w:lineRule="auto"/>
        <w:ind w:left="5660" w:right="40"/>
        <w:jc w:val="left"/>
      </w:pPr>
      <w:r>
        <w:t>Совета Министров</w:t>
      </w:r>
    </w:p>
    <w:p w:rsidR="00A4030F" w:rsidRDefault="009852B3" w:rsidP="0026180F">
      <w:pPr>
        <w:pStyle w:val="25"/>
        <w:spacing w:before="0" w:after="0" w:line="276" w:lineRule="auto"/>
        <w:ind w:left="5660" w:right="40"/>
        <w:jc w:val="left"/>
      </w:pPr>
      <w:r>
        <w:t>Донецкой Народной Республики</w:t>
      </w:r>
    </w:p>
    <w:p w:rsidR="00A4030F" w:rsidRDefault="009852B3" w:rsidP="0026180F">
      <w:pPr>
        <w:pStyle w:val="25"/>
        <w:spacing w:before="0" w:after="0" w:line="276" w:lineRule="auto"/>
        <w:ind w:left="5660" w:right="40"/>
        <w:jc w:val="left"/>
      </w:pPr>
      <w:r>
        <w:t>от 10 марта 2017 г. № 3-3</w:t>
      </w:r>
    </w:p>
    <w:p w:rsidR="00B50E85" w:rsidRDefault="00B50E85" w:rsidP="0026180F">
      <w:pPr>
        <w:pStyle w:val="25"/>
        <w:spacing w:before="0" w:after="0" w:line="276" w:lineRule="auto"/>
        <w:ind w:left="5660" w:right="40"/>
        <w:jc w:val="left"/>
      </w:pPr>
    </w:p>
    <w:p w:rsidR="00B50E85" w:rsidRDefault="00B50E85" w:rsidP="0026180F">
      <w:pPr>
        <w:pStyle w:val="25"/>
        <w:spacing w:before="0" w:after="0" w:line="276" w:lineRule="auto"/>
        <w:ind w:left="5660" w:right="40"/>
        <w:jc w:val="left"/>
      </w:pPr>
    </w:p>
    <w:p w:rsidR="00A4030F" w:rsidRPr="00B50E85" w:rsidRDefault="009852B3" w:rsidP="0026180F">
      <w:pPr>
        <w:pStyle w:val="25"/>
        <w:spacing w:before="0" w:after="0" w:line="276" w:lineRule="auto"/>
        <w:jc w:val="center"/>
        <w:rPr>
          <w:b/>
        </w:rPr>
      </w:pPr>
      <w:r w:rsidRPr="00B50E85">
        <w:rPr>
          <w:b/>
        </w:rPr>
        <w:t xml:space="preserve">Порядок включения суммы лицензионных платежей в цену, фактически уплаченную или подлежащую уплате за оцениваемые </w:t>
      </w:r>
      <w:r w:rsidRPr="00B50E85">
        <w:rPr>
          <w:b/>
        </w:rPr>
        <w:t>товары, при определении</w:t>
      </w:r>
    </w:p>
    <w:p w:rsidR="00A4030F" w:rsidRPr="00B50E85" w:rsidRDefault="009852B3" w:rsidP="0026180F">
      <w:pPr>
        <w:pStyle w:val="25"/>
        <w:spacing w:before="0" w:after="0" w:line="276" w:lineRule="auto"/>
        <w:jc w:val="center"/>
        <w:rPr>
          <w:b/>
        </w:rPr>
      </w:pPr>
      <w:r w:rsidRPr="00B50E85">
        <w:rPr>
          <w:b/>
        </w:rPr>
        <w:t>их таможенной стоимости</w:t>
      </w:r>
    </w:p>
    <w:p w:rsidR="00B50E85" w:rsidRDefault="00B50E85" w:rsidP="0026180F">
      <w:pPr>
        <w:pStyle w:val="25"/>
        <w:spacing w:before="0" w:after="0" w:line="276" w:lineRule="auto"/>
        <w:jc w:val="center"/>
      </w:pPr>
    </w:p>
    <w:p w:rsidR="00B50E85" w:rsidRDefault="00B50E85" w:rsidP="0026180F">
      <w:pPr>
        <w:pStyle w:val="25"/>
        <w:spacing w:before="0" w:after="0" w:line="276" w:lineRule="auto"/>
        <w:jc w:val="center"/>
      </w:pPr>
    </w:p>
    <w:p w:rsidR="00A4030F" w:rsidRDefault="009852B3" w:rsidP="0026180F">
      <w:pPr>
        <w:pStyle w:val="25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Настоящий Порядок определяет механизм включения суммы лицензионных платежей в цену, фактически уплаченную или подлежащую уплате за оцениваемые товары (далее — цена), при определении их таможенной стоимости.</w:t>
      </w:r>
    </w:p>
    <w:p w:rsidR="00A4030F" w:rsidRDefault="009852B3" w:rsidP="0026180F">
      <w:pPr>
        <w:pStyle w:val="25"/>
        <w:numPr>
          <w:ilvl w:val="0"/>
          <w:numId w:val="2"/>
        </w:numPr>
        <w:spacing w:before="0" w:after="0" w:line="276" w:lineRule="auto"/>
        <w:ind w:left="20" w:firstLine="720"/>
      </w:pPr>
      <w:r>
        <w:t xml:space="preserve"> Основные термины и их определения:</w:t>
      </w:r>
    </w:p>
    <w:p w:rsidR="00A4030F" w:rsidRDefault="009852B3" w:rsidP="0026180F">
      <w:pPr>
        <w:pStyle w:val="25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комбинированный платеж — лицензионный платеж, включающий роялти и паушальный платеж;</w:t>
      </w:r>
    </w:p>
    <w:p w:rsidR="00A4030F" w:rsidRDefault="009852B3" w:rsidP="0026180F">
      <w:pPr>
        <w:pStyle w:val="25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лицензионный платеж — плата за предоставление прав на использование объекта права интеллектуальной собственности, который является пр</w:t>
      </w:r>
      <w:r>
        <w:t>едметом лицензионного договора. К лицензионным платежам относятся паушальный платеж, роялти и комбинированный платеж;</w:t>
      </w:r>
    </w:p>
    <w:p w:rsidR="00A4030F" w:rsidRDefault="009852B3" w:rsidP="0026180F">
      <w:pPr>
        <w:pStyle w:val="25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паушальный платеж — разовый платеж, который составляет фиксированную сумму и не зависит от объемов использования или реализации продукции</w:t>
      </w:r>
      <w:r>
        <w:t xml:space="preserve"> (товаров, работ, услуг) с использованием объекта права интеллектуальной собственности;</w:t>
      </w:r>
    </w:p>
    <w:p w:rsidR="00A4030F" w:rsidRDefault="009852B3" w:rsidP="0026180F">
      <w:pPr>
        <w:pStyle w:val="25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роялти — лицензионный платеж в виде сумм, которые уплачиваются периодически, в зависимости от объемов использования или реализации продукции (товаров, работ, услуг) с </w:t>
      </w:r>
      <w:r>
        <w:t>использованием объекта права интеллектуальной собственности;</w:t>
      </w:r>
    </w:p>
    <w:p w:rsidR="00A4030F" w:rsidRDefault="009852B3" w:rsidP="0026180F">
      <w:pPr>
        <w:pStyle w:val="25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Сумма лицензионных платежей, за исключением лицензионных платежей на право воспроизведения (тиражирования) в Донецкой Народной Республике оцениваемых товаров, при определении таможенной стоимости оцениваемых товаров включается в цену при следующих условия</w:t>
      </w:r>
      <w:r>
        <w:t>х:</w:t>
      </w:r>
    </w:p>
    <w:p w:rsidR="00A4030F" w:rsidRDefault="009852B3" w:rsidP="0026180F">
      <w:pPr>
        <w:pStyle w:val="25"/>
        <w:numPr>
          <w:ilvl w:val="0"/>
          <w:numId w:val="4"/>
        </w:numPr>
        <w:spacing w:before="0" w:after="0" w:line="276" w:lineRule="auto"/>
        <w:ind w:left="20" w:firstLine="720"/>
      </w:pPr>
      <w:r>
        <w:t xml:space="preserve"> лицензионные платежи касаются оцениваемых товаров;</w:t>
      </w:r>
    </w:p>
    <w:p w:rsidR="00A4030F" w:rsidRDefault="009852B3" w:rsidP="0026180F">
      <w:pPr>
        <w:pStyle w:val="25"/>
        <w:numPr>
          <w:ilvl w:val="0"/>
          <w:numId w:val="4"/>
        </w:numPr>
        <w:spacing w:before="0" w:after="0" w:line="276" w:lineRule="auto"/>
        <w:ind w:left="20" w:right="40" w:firstLine="720"/>
      </w:pPr>
      <w:r>
        <w:t xml:space="preserve"> покупатель должен уплачивать лицензионные платежи прямо или опосредствованно, что является условием продажи оцениваемых товаров независимо от того, закреплено ли такое условие в договоре купли-продажи</w:t>
      </w:r>
      <w:r>
        <w:t xml:space="preserve"> оцениваемых товаров;</w:t>
      </w:r>
    </w:p>
    <w:p w:rsidR="00A4030F" w:rsidRDefault="009852B3" w:rsidP="0026180F">
      <w:pPr>
        <w:pStyle w:val="25"/>
        <w:numPr>
          <w:ilvl w:val="0"/>
          <w:numId w:val="4"/>
        </w:numPr>
        <w:spacing w:before="0" w:after="0" w:line="276" w:lineRule="auto"/>
        <w:ind w:left="20" w:firstLine="720"/>
      </w:pPr>
      <w:r>
        <w:t xml:space="preserve"> сумма лицензионных платежей не включена в цену.</w:t>
      </w:r>
    </w:p>
    <w:p w:rsidR="00A4030F" w:rsidRDefault="009852B3" w:rsidP="0026180F">
      <w:pPr>
        <w:pStyle w:val="25"/>
        <w:numPr>
          <w:ilvl w:val="0"/>
          <w:numId w:val="2"/>
        </w:numPr>
        <w:spacing w:before="0" w:after="0" w:line="276" w:lineRule="auto"/>
        <w:ind w:left="40" w:right="60" w:firstLine="720"/>
      </w:pPr>
      <w:r>
        <w:lastRenderedPageBreak/>
        <w:t xml:space="preserve"> Если на момент таможенного оформления оцениваемых товаров декларант или уполномоченное им лицо имеет сведения о сумме лицензионных платежей, он обязан при определении таможенной стоимо</w:t>
      </w:r>
      <w:r>
        <w:t>сти указанных товаров включить такую сумму в цену.</w:t>
      </w:r>
    </w:p>
    <w:p w:rsidR="00A4030F" w:rsidRDefault="009852B3" w:rsidP="0026180F">
      <w:pPr>
        <w:pStyle w:val="25"/>
        <w:numPr>
          <w:ilvl w:val="0"/>
          <w:numId w:val="2"/>
        </w:numPr>
        <w:spacing w:before="0" w:after="0" w:line="276" w:lineRule="auto"/>
        <w:ind w:left="40" w:right="60" w:firstLine="720"/>
      </w:pPr>
      <w:r>
        <w:t xml:space="preserve"> Расчет суммы лицензионных платежей, включаемой в цену, осуществляется в соответствии с условиями лицензионного договора или другого договора по распоряжению имущественными правами интеллектуальной собстве</w:t>
      </w:r>
      <w:r>
        <w:t>нности.</w:t>
      </w:r>
    </w:p>
    <w:p w:rsidR="00A4030F" w:rsidRDefault="009852B3" w:rsidP="0026180F">
      <w:pPr>
        <w:pStyle w:val="25"/>
        <w:numPr>
          <w:ilvl w:val="0"/>
          <w:numId w:val="2"/>
        </w:numPr>
        <w:spacing w:before="0" w:after="0" w:line="276" w:lineRule="auto"/>
        <w:ind w:left="40" w:right="60" w:firstLine="720"/>
      </w:pPr>
      <w:r>
        <w:t xml:space="preserve"> Для подтверждения расчета и уплаты суммы лицензионных платежей, включаемой в цену, декларант или уполномоченное им лицо представляет таможенному органу лицензионный договор или другой договор по распоряжению имущественными правами интеллектуальной</w:t>
      </w:r>
      <w:r>
        <w:t xml:space="preserve"> собственности и имеющиеся у него документы, подтверждающие заявленные числовые значения этой составляющей таможенной стоимости.</w:t>
      </w:r>
    </w:p>
    <w:p w:rsidR="00A4030F" w:rsidRDefault="009852B3" w:rsidP="0026180F">
      <w:pPr>
        <w:pStyle w:val="25"/>
        <w:numPr>
          <w:ilvl w:val="0"/>
          <w:numId w:val="2"/>
        </w:numPr>
        <w:spacing w:before="0" w:after="0" w:line="276" w:lineRule="auto"/>
        <w:ind w:left="40" w:right="60" w:firstLine="720"/>
      </w:pPr>
      <w:r>
        <w:t xml:space="preserve"> Если на момент таможенного оформления оцениваемых товаров сумма лицензионных платежей неизвестна, то при определении таможенно</w:t>
      </w:r>
      <w:r>
        <w:t>й стоимости оцениваемых товаров декларант или уполномоченное им лицо осуществляет расчет суммы лицензионных платежей с учетом:</w:t>
      </w:r>
    </w:p>
    <w:p w:rsidR="00A4030F" w:rsidRDefault="009852B3" w:rsidP="0026180F">
      <w:pPr>
        <w:pStyle w:val="25"/>
        <w:spacing w:before="0" w:after="0" w:line="276" w:lineRule="auto"/>
        <w:ind w:left="40" w:right="60" w:firstLine="720"/>
      </w:pPr>
      <w:r>
        <w:t>запланированных показателей, которые базируются на сумме лицензионных платежей, уплаченной за идентичные товары в предыдущем пери</w:t>
      </w:r>
      <w:r>
        <w:t>оде, если лицензионным договором или другим договором по распоряжению имущественными правами интеллектуальной собственности предусмотрена уплата лицензионных платежей в зависимости от полученной прибыли;</w:t>
      </w:r>
    </w:p>
    <w:p w:rsidR="00A4030F" w:rsidRDefault="009852B3" w:rsidP="0026180F">
      <w:pPr>
        <w:pStyle w:val="25"/>
        <w:spacing w:before="0" w:after="0" w:line="276" w:lineRule="auto"/>
        <w:ind w:left="40" w:right="60" w:firstLine="720"/>
      </w:pPr>
      <w:r>
        <w:t xml:space="preserve">прогнозных показателей базы лицензионных платежей, </w:t>
      </w:r>
      <w:r>
        <w:t>которая используется для определения величины лицензионных платежей в соответствии с условиями лицензионного договора или другого договора по распоряжению имущественными правами интеллектуальной собственности.</w:t>
      </w:r>
    </w:p>
    <w:p w:rsidR="00A4030F" w:rsidRDefault="009852B3" w:rsidP="0026180F">
      <w:pPr>
        <w:pStyle w:val="25"/>
        <w:numPr>
          <w:ilvl w:val="0"/>
          <w:numId w:val="2"/>
        </w:numPr>
        <w:spacing w:before="0" w:after="0" w:line="276" w:lineRule="auto"/>
        <w:ind w:left="40" w:right="60" w:firstLine="720"/>
      </w:pPr>
      <w:r>
        <w:t xml:space="preserve"> По результатам окончательной оплаты лицензион</w:t>
      </w:r>
      <w:r>
        <w:t>ных платежей в полном объеме декларант или уполномоченное им лицо предоставляет в срок, не превышающий 30 календарных дней с даты такой оплаты, документы, подтверждающие фактическую сумму лицензионных платежей.</w:t>
      </w:r>
    </w:p>
    <w:p w:rsidR="00A4030F" w:rsidRDefault="009852B3" w:rsidP="0026180F">
      <w:pPr>
        <w:pStyle w:val="25"/>
        <w:numPr>
          <w:ilvl w:val="0"/>
          <w:numId w:val="2"/>
        </w:numPr>
        <w:spacing w:before="0" w:after="0" w:line="276" w:lineRule="auto"/>
        <w:ind w:left="40" w:right="60" w:firstLine="720"/>
      </w:pPr>
      <w:r>
        <w:t xml:space="preserve"> В случае если фактическая сумма лицензионных</w:t>
      </w:r>
      <w:r>
        <w:t xml:space="preserve"> платежей превышает указанную в таможенной декларации, в результате чего возникла необходимость в доплате сумм таможенных платежей, декларантом или уполномоченным лицом производится такая доплата, а в таможенную декларацию вносятся соответствующие изменени</w:t>
      </w:r>
      <w:r>
        <w:t>я в соответствии с действующим законодательством Донецкой Народной Республики.</w:t>
      </w:r>
    </w:p>
    <w:p w:rsidR="00A4030F" w:rsidRDefault="009852B3" w:rsidP="0026180F">
      <w:pPr>
        <w:pStyle w:val="25"/>
        <w:numPr>
          <w:ilvl w:val="0"/>
          <w:numId w:val="2"/>
        </w:numPr>
        <w:tabs>
          <w:tab w:val="left" w:pos="1243"/>
        </w:tabs>
        <w:spacing w:before="0" w:after="0" w:line="276" w:lineRule="auto"/>
        <w:ind w:right="20" w:firstLine="740"/>
      </w:pPr>
      <w:r>
        <w:t>В случае наличия излишне включенных в цену сумм роялти и других лицензионных платежей, излишне уплаченные суммы таможенных платежей возвращаются декларанту, после внесения соотв</w:t>
      </w:r>
      <w:r>
        <w:t xml:space="preserve">етствующих изменений в </w:t>
      </w:r>
      <w:r>
        <w:lastRenderedPageBreak/>
        <w:t>таможенную декларацию в соответствии с действующим законодательством Донецкой Народной Республики.</w:t>
      </w:r>
    </w:p>
    <w:sectPr w:rsidR="00A4030F" w:rsidSect="00A4030F">
      <w:type w:val="continuous"/>
      <w:pgSz w:w="11906" w:h="16838"/>
      <w:pgMar w:top="1679" w:right="1076" w:bottom="1295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2B3" w:rsidRDefault="009852B3" w:rsidP="00A4030F">
      <w:pPr/>
      <w:r>
        <w:separator/>
      </w:r>
    </w:p>
  </w:endnote>
  <w:endnote w:type="continuationSeparator" w:id="1">
    <w:p w:rsidR="009852B3" w:rsidRDefault="009852B3" w:rsidP="00A4030F">
      <w:pPr/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2B3" w:rsidRDefault="009852B3"/>
  </w:footnote>
  <w:footnote w:type="continuationSeparator" w:id="1">
    <w:p w:rsidR="009852B3" w:rsidRDefault="009852B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F6ADF"/>
    <w:multiLevelType w:val="multilevel"/>
    <w:tmpl w:val="7C809F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7F1B80"/>
    <w:multiLevelType w:val="multilevel"/>
    <w:tmpl w:val="690A1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936495"/>
    <w:multiLevelType w:val="multilevel"/>
    <w:tmpl w:val="E5322F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F6724F"/>
    <w:multiLevelType w:val="multilevel"/>
    <w:tmpl w:val="126628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4030F"/>
    <w:rsid w:val="0026180F"/>
    <w:rsid w:val="00595D5A"/>
    <w:rsid w:val="009852B3"/>
    <w:rsid w:val="00A4030F"/>
    <w:rsid w:val="00B50E85"/>
    <w:rsid w:val="00F51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030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030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403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A4030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A403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21">
    <w:name w:val="Заголовок №2"/>
    <w:basedOn w:val="2"/>
    <w:rsid w:val="00A4030F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A403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A4030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A403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A4030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A4030F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A4030F"/>
    <w:pPr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A4030F"/>
    <w:pPr>
      <w:spacing w:before="300" w:after="9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23">
    <w:name w:val="Основной текст (2)"/>
    <w:basedOn w:val="a"/>
    <w:link w:val="22"/>
    <w:rsid w:val="00A4030F"/>
    <w:pPr>
      <w:spacing w:before="96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2"/>
    <w:basedOn w:val="a"/>
    <w:link w:val="a4"/>
    <w:rsid w:val="00A4030F"/>
    <w:pPr>
      <w:spacing w:before="42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2019-02-05T09:28:00Z</dcterms:created>
  <dcterms:modified xsi:type="dcterms:W3CDTF">2019-02-05T09:32:00Z</dcterms:modified>
</cp:coreProperties>
</file>