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0B" w:rsidRDefault="0093470B" w:rsidP="00513450">
      <w:pPr>
        <w:pStyle w:val="10"/>
        <w:keepNext/>
        <w:keepLines/>
        <w:pBdr>
          <w:bottom w:val="double" w:sz="6" w:space="1" w:color="auto"/>
        </w:pBdr>
        <w:spacing w:after="0" w:line="276" w:lineRule="auto"/>
        <w:rPr>
          <w:rStyle w:val="11"/>
          <w:b/>
          <w:bCs/>
          <w:sz w:val="30"/>
          <w:szCs w:val="30"/>
        </w:rPr>
      </w:pPr>
      <w:bookmarkStart w:id="0" w:name="bookmark0"/>
      <w:r>
        <w:rPr>
          <w:noProof/>
          <w:sz w:val="30"/>
          <w:szCs w:val="30"/>
          <w:lang w:bidi="ar-SA"/>
        </w:rPr>
        <w:drawing>
          <wp:inline distT="0" distB="0" distL="0" distR="0">
            <wp:extent cx="6115050" cy="12096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B17" w:rsidRPr="00B36382" w:rsidRDefault="00714AA2" w:rsidP="008A1ACA">
      <w:pPr>
        <w:pStyle w:val="10"/>
        <w:keepNext/>
        <w:keepLines/>
        <w:spacing w:after="0" w:line="360" w:lineRule="auto"/>
        <w:rPr>
          <w:sz w:val="30"/>
          <w:szCs w:val="30"/>
        </w:rPr>
      </w:pPr>
      <w:r w:rsidRPr="00B36382">
        <w:rPr>
          <w:rStyle w:val="11"/>
          <w:b/>
          <w:bCs/>
          <w:sz w:val="30"/>
          <w:szCs w:val="30"/>
        </w:rPr>
        <w:t>УКАЗ</w:t>
      </w:r>
      <w:bookmarkEnd w:id="0"/>
    </w:p>
    <w:p w:rsidR="00F72B17" w:rsidRPr="00B36382" w:rsidRDefault="00714AA2" w:rsidP="008A1ACA">
      <w:pPr>
        <w:pStyle w:val="20"/>
        <w:keepNext/>
        <w:keepLines/>
        <w:spacing w:after="0" w:line="360" w:lineRule="auto"/>
        <w:ind w:firstLine="0"/>
        <w:rPr>
          <w:rStyle w:val="21"/>
          <w:b/>
          <w:bCs/>
          <w:sz w:val="30"/>
          <w:szCs w:val="30"/>
        </w:rPr>
      </w:pPr>
      <w:bookmarkStart w:id="1" w:name="bookmark1"/>
      <w:r w:rsidRPr="00B36382">
        <w:rPr>
          <w:rStyle w:val="21"/>
          <w:b/>
          <w:bCs/>
          <w:sz w:val="30"/>
          <w:szCs w:val="30"/>
        </w:rPr>
        <w:t>ГЛАВЫ ДОНЕЦКОЙ НАРОДНОЙ РЕСПУБЛИКИ</w:t>
      </w:r>
      <w:bookmarkEnd w:id="1"/>
    </w:p>
    <w:p w:rsidR="00B36382" w:rsidRDefault="00B36382" w:rsidP="00513450">
      <w:pPr>
        <w:pStyle w:val="20"/>
        <w:keepNext/>
        <w:keepLines/>
        <w:spacing w:after="0" w:line="276" w:lineRule="auto"/>
        <w:ind w:firstLine="0"/>
      </w:pPr>
    </w:p>
    <w:p w:rsidR="00F72B17" w:rsidRPr="00B36382" w:rsidRDefault="00714AA2" w:rsidP="00513450">
      <w:pPr>
        <w:pStyle w:val="23"/>
        <w:spacing w:before="0" w:after="0" w:line="276" w:lineRule="auto"/>
        <w:rPr>
          <w:rStyle w:val="24"/>
          <w:b/>
          <w:bCs/>
          <w:i/>
          <w:iCs/>
          <w:sz w:val="28"/>
          <w:szCs w:val="28"/>
        </w:rPr>
      </w:pPr>
      <w:r w:rsidRPr="00B36382">
        <w:rPr>
          <w:rStyle w:val="24"/>
          <w:b/>
          <w:bCs/>
          <w:i/>
          <w:iCs/>
          <w:sz w:val="28"/>
          <w:szCs w:val="28"/>
        </w:rPr>
        <w:t>«Об</w:t>
      </w:r>
      <w:r w:rsidR="00B36382" w:rsidRPr="00B36382">
        <w:rPr>
          <w:rStyle w:val="24"/>
          <w:b/>
          <w:bCs/>
          <w:i/>
          <w:iCs/>
          <w:sz w:val="28"/>
          <w:szCs w:val="28"/>
        </w:rPr>
        <w:t xml:space="preserve"> </w:t>
      </w:r>
      <w:r w:rsidRPr="00B36382">
        <w:rPr>
          <w:rStyle w:val="24"/>
          <w:b/>
          <w:bCs/>
          <w:i/>
          <w:iCs/>
          <w:sz w:val="28"/>
          <w:szCs w:val="28"/>
        </w:rPr>
        <w:t>урегулировании отношений</w:t>
      </w:r>
      <w:r w:rsidRPr="00B36382">
        <w:rPr>
          <w:rStyle w:val="214pt"/>
          <w:b/>
          <w:bCs/>
        </w:rPr>
        <w:t>,</w:t>
      </w:r>
      <w:r w:rsidRPr="00B36382">
        <w:rPr>
          <w:rStyle w:val="222pt"/>
          <w:b/>
          <w:bCs/>
          <w:sz w:val="28"/>
          <w:szCs w:val="28"/>
        </w:rPr>
        <w:t xml:space="preserve"> </w:t>
      </w:r>
      <w:r w:rsidRPr="00B36382">
        <w:rPr>
          <w:rStyle w:val="24"/>
          <w:b/>
          <w:bCs/>
          <w:i/>
          <w:iCs/>
          <w:sz w:val="28"/>
          <w:szCs w:val="28"/>
        </w:rPr>
        <w:t>связанных с арендой водных объектов»</w:t>
      </w:r>
    </w:p>
    <w:p w:rsidR="00B36382" w:rsidRPr="00B36382" w:rsidRDefault="00B36382" w:rsidP="00513450">
      <w:pPr>
        <w:pStyle w:val="23"/>
        <w:spacing w:before="0" w:after="0" w:line="276" w:lineRule="auto"/>
        <w:rPr>
          <w:sz w:val="28"/>
          <w:szCs w:val="28"/>
        </w:rPr>
      </w:pPr>
    </w:p>
    <w:p w:rsidR="00F72B17" w:rsidRDefault="00714AA2" w:rsidP="00513450">
      <w:pPr>
        <w:pStyle w:val="25"/>
        <w:spacing w:before="0" w:after="0" w:line="276" w:lineRule="auto"/>
        <w:ind w:left="20" w:right="20" w:firstLine="660"/>
        <w:rPr>
          <w:rStyle w:val="12"/>
          <w:sz w:val="28"/>
          <w:szCs w:val="28"/>
        </w:rPr>
      </w:pPr>
      <w:r w:rsidRPr="00B36382">
        <w:rPr>
          <w:rStyle w:val="12"/>
          <w:sz w:val="28"/>
          <w:szCs w:val="28"/>
        </w:rPr>
        <w:t xml:space="preserve">В соответствии со статьями 59, 60 </w:t>
      </w:r>
      <w:hyperlink r:id="rId8" w:history="1">
        <w:r w:rsidRPr="00512FB1">
          <w:rPr>
            <w:rStyle w:val="a3"/>
            <w:sz w:val="28"/>
            <w:szCs w:val="28"/>
          </w:rPr>
          <w:t>Конституции Донецкой Народной Республики</w:t>
        </w:r>
      </w:hyperlink>
      <w:r w:rsidRPr="00B36382">
        <w:rPr>
          <w:rStyle w:val="12"/>
          <w:sz w:val="28"/>
          <w:szCs w:val="28"/>
        </w:rPr>
        <w:t xml:space="preserve">, в целях урегулирования отношений, связанных с арендой водных объектов, расположенных на территории Донецкой Народной Республики и во исполнение </w:t>
      </w:r>
      <w:hyperlink r:id="rId9" w:history="1">
        <w:r w:rsidRPr="00512FB1">
          <w:rPr>
            <w:rStyle w:val="a3"/>
            <w:sz w:val="28"/>
            <w:szCs w:val="28"/>
          </w:rPr>
          <w:t>Постановления Совета Министров Донецкой Народной Республики от 21.07.2014 г. №18-5 «О переходе в государственную собственность Донецкой Народной Республики собственности государства Украины»</w:t>
        </w:r>
      </w:hyperlink>
      <w:r w:rsidRPr="00B36382">
        <w:rPr>
          <w:rStyle w:val="12"/>
          <w:sz w:val="28"/>
          <w:szCs w:val="28"/>
        </w:rPr>
        <w:t>,</w:t>
      </w:r>
    </w:p>
    <w:p w:rsidR="00B36382" w:rsidRPr="00B36382" w:rsidRDefault="00B36382" w:rsidP="00513450">
      <w:pPr>
        <w:pStyle w:val="25"/>
        <w:spacing w:before="0" w:after="0" w:line="276" w:lineRule="auto"/>
        <w:ind w:left="20" w:right="20" w:firstLine="660"/>
        <w:rPr>
          <w:sz w:val="28"/>
          <w:szCs w:val="28"/>
        </w:rPr>
      </w:pPr>
    </w:p>
    <w:p w:rsidR="00F72B17" w:rsidRDefault="00714AA2" w:rsidP="00513450">
      <w:pPr>
        <w:pStyle w:val="30"/>
        <w:keepNext/>
        <w:keepLines/>
        <w:spacing w:before="0" w:line="276" w:lineRule="auto"/>
        <w:ind w:left="20" w:firstLine="660"/>
        <w:jc w:val="both"/>
        <w:rPr>
          <w:rStyle w:val="31"/>
          <w:b/>
          <w:bCs/>
          <w:sz w:val="28"/>
          <w:szCs w:val="28"/>
        </w:rPr>
      </w:pPr>
      <w:bookmarkStart w:id="2" w:name="bookmark2"/>
      <w:r w:rsidRPr="00B36382">
        <w:rPr>
          <w:rStyle w:val="31"/>
          <w:b/>
          <w:bCs/>
          <w:sz w:val="28"/>
          <w:szCs w:val="28"/>
        </w:rPr>
        <w:t>ПОСТАНОВЛЯЮ:</w:t>
      </w:r>
      <w:bookmarkEnd w:id="2"/>
    </w:p>
    <w:p w:rsidR="00B36382" w:rsidRPr="00B36382" w:rsidRDefault="00B36382" w:rsidP="00513450">
      <w:pPr>
        <w:pStyle w:val="30"/>
        <w:keepNext/>
        <w:keepLines/>
        <w:spacing w:before="0" w:line="276" w:lineRule="auto"/>
        <w:ind w:left="20" w:firstLine="660"/>
        <w:jc w:val="both"/>
        <w:rPr>
          <w:sz w:val="28"/>
          <w:szCs w:val="28"/>
        </w:rPr>
      </w:pPr>
    </w:p>
    <w:p w:rsidR="00F72B17" w:rsidRPr="00B36382" w:rsidRDefault="00714AA2" w:rsidP="0093470B">
      <w:pPr>
        <w:pStyle w:val="25"/>
        <w:numPr>
          <w:ilvl w:val="0"/>
          <w:numId w:val="1"/>
        </w:numPr>
        <w:spacing w:before="120" w:after="120" w:line="276" w:lineRule="auto"/>
        <w:ind w:left="23" w:right="20" w:firstLine="660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 xml:space="preserve"> Считать утратившими силу договора аренды водных объектов, расположенных на территории Донецкой Народной Республики заключенные до 02.06.2015 г. (приложение №1) и договора аренды земельных участков под ними.</w:t>
      </w:r>
    </w:p>
    <w:p w:rsidR="00F72B17" w:rsidRPr="00B36382" w:rsidRDefault="00714AA2" w:rsidP="0093470B">
      <w:pPr>
        <w:pStyle w:val="25"/>
        <w:numPr>
          <w:ilvl w:val="0"/>
          <w:numId w:val="1"/>
        </w:numPr>
        <w:spacing w:before="120" w:after="120" w:line="276" w:lineRule="auto"/>
        <w:ind w:left="23" w:right="20" w:firstLine="660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 xml:space="preserve"> Субъектами, заключившими договора, установленные в пункте 1 настоящего Указа при намерении заключения договоров аренды водных объектов, в месячный срок после вступления в силу настоящего Указа, подготовить необходимые документы, согласно </w:t>
      </w:r>
      <w:hyperlink r:id="rId10" w:history="1">
        <w:r w:rsidRPr="005D0929">
          <w:rPr>
            <w:rStyle w:val="a3"/>
            <w:sz w:val="28"/>
            <w:szCs w:val="28"/>
          </w:rPr>
          <w:t>Временного порядка о предоставлении водных объектов общегосударственного значения в аренду, утвержденного Постановлением Совета Министров Донецкой Народной Республики от 02.06.2015 г. №10-18</w:t>
        </w:r>
      </w:hyperlink>
      <w:r w:rsidRPr="00B36382">
        <w:rPr>
          <w:rStyle w:val="12"/>
          <w:sz w:val="28"/>
          <w:szCs w:val="28"/>
        </w:rPr>
        <w:t xml:space="preserve"> и подать на рассмотрение Республиканской комиссии по предоставлению водных объектов общегосударственного значения в аренду. Применить к объектам, указанным в пункте 1 настоящего Указа, </w:t>
      </w:r>
      <w:hyperlink r:id="rId11" w:history="1">
        <w:r w:rsidRPr="005D0929">
          <w:rPr>
            <w:rStyle w:val="a3"/>
            <w:sz w:val="28"/>
            <w:szCs w:val="28"/>
          </w:rPr>
          <w:t xml:space="preserve">Временный порядок о предоставлении водных </w:t>
        </w:r>
        <w:r w:rsidRPr="005D0929">
          <w:rPr>
            <w:rStyle w:val="a3"/>
            <w:sz w:val="28"/>
            <w:szCs w:val="28"/>
          </w:rPr>
          <w:lastRenderedPageBreak/>
          <w:t>объектов общегосударственного значения в аренду, утвержденный Постановлением Совета Министров Донецкой Народной Республики от 02.06.2015 г. №10-18</w:t>
        </w:r>
      </w:hyperlink>
      <w:r w:rsidRPr="00B36382">
        <w:rPr>
          <w:rStyle w:val="12"/>
          <w:sz w:val="28"/>
          <w:szCs w:val="28"/>
        </w:rPr>
        <w:t xml:space="preserve"> без проведения конкурса, при условии соблюдения всех существующих условий ранее заключенных договоров аренды таких водных объектов и земельного участка под ними.</w:t>
      </w:r>
    </w:p>
    <w:p w:rsidR="00F72B17" w:rsidRPr="00B36382" w:rsidRDefault="00714AA2" w:rsidP="0093470B">
      <w:pPr>
        <w:pStyle w:val="25"/>
        <w:numPr>
          <w:ilvl w:val="0"/>
          <w:numId w:val="1"/>
        </w:numPr>
        <w:tabs>
          <w:tab w:val="left" w:pos="1270"/>
        </w:tabs>
        <w:spacing w:before="120" w:after="120" w:line="276" w:lineRule="auto"/>
        <w:ind w:left="23" w:firstLine="640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>Все гидротехнические сооружения, расположенные на территории</w:t>
      </w:r>
    </w:p>
    <w:p w:rsidR="00F72B17" w:rsidRPr="00B36382" w:rsidRDefault="00714AA2" w:rsidP="0093470B">
      <w:pPr>
        <w:pStyle w:val="25"/>
        <w:tabs>
          <w:tab w:val="left" w:pos="1271"/>
        </w:tabs>
        <w:spacing w:before="120" w:after="120" w:line="276" w:lineRule="auto"/>
        <w:ind w:left="23" w:right="20"/>
        <w:jc w:val="left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>Донецкой Народной Республики (приложение 2) являются собственностью Донецкой</w:t>
      </w:r>
      <w:r w:rsidRPr="00B36382">
        <w:rPr>
          <w:rStyle w:val="12"/>
          <w:sz w:val="28"/>
          <w:szCs w:val="28"/>
        </w:rPr>
        <w:tab/>
        <w:t>Народной Республики и закрепляются за соответствующим</w:t>
      </w:r>
    </w:p>
    <w:p w:rsidR="00F72B17" w:rsidRPr="00B36382" w:rsidRDefault="00714AA2" w:rsidP="0093470B">
      <w:pPr>
        <w:pStyle w:val="25"/>
        <w:spacing w:before="120" w:after="120" w:line="276" w:lineRule="auto"/>
        <w:ind w:left="23"/>
        <w:jc w:val="left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>балансодержателем.</w:t>
      </w:r>
    </w:p>
    <w:p w:rsidR="00F72B17" w:rsidRPr="00B36382" w:rsidRDefault="00714AA2" w:rsidP="0093470B">
      <w:pPr>
        <w:pStyle w:val="25"/>
        <w:numPr>
          <w:ilvl w:val="0"/>
          <w:numId w:val="1"/>
        </w:numPr>
        <w:tabs>
          <w:tab w:val="left" w:pos="630"/>
        </w:tabs>
        <w:spacing w:before="120" w:after="120" w:line="276" w:lineRule="auto"/>
        <w:ind w:left="23" w:right="20" w:firstLine="640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>При передаче водных объектов в аренду, балансодержатель, согласн</w:t>
      </w:r>
      <w:r w:rsidR="001E08BB">
        <w:rPr>
          <w:rStyle w:val="12"/>
          <w:sz w:val="28"/>
          <w:szCs w:val="28"/>
        </w:rPr>
        <w:t>о</w:t>
      </w:r>
      <w:r w:rsidRPr="00B36382">
        <w:rPr>
          <w:rStyle w:val="12"/>
          <w:sz w:val="28"/>
          <w:szCs w:val="28"/>
        </w:rPr>
        <w:t xml:space="preserve"> </w:t>
      </w:r>
      <w:hyperlink r:id="rId12" w:history="1">
        <w:r w:rsidRPr="005D0929">
          <w:rPr>
            <w:rStyle w:val="a3"/>
            <w:sz w:val="28"/>
            <w:szCs w:val="28"/>
          </w:rPr>
          <w:t>Временного порядка о предоставлении водных объектов общегосударственного значения в аренду, утвержденного Постановлением Совета Министров Донецкой Народной Республики от 02.06.2015 г. №10-18</w:t>
        </w:r>
      </w:hyperlink>
      <w:r w:rsidRPr="00B36382">
        <w:rPr>
          <w:rStyle w:val="12"/>
          <w:sz w:val="28"/>
          <w:szCs w:val="28"/>
        </w:rPr>
        <w:t xml:space="preserve"> заключает договор о совместной эксплуатации гидротехнического сооружения.</w:t>
      </w:r>
    </w:p>
    <w:p w:rsidR="00F72B17" w:rsidRPr="00B36382" w:rsidRDefault="00714AA2" w:rsidP="0093470B">
      <w:pPr>
        <w:pStyle w:val="25"/>
        <w:numPr>
          <w:ilvl w:val="0"/>
          <w:numId w:val="1"/>
        </w:numPr>
        <w:tabs>
          <w:tab w:val="left" w:pos="1270"/>
        </w:tabs>
        <w:spacing w:before="120" w:after="120" w:line="276" w:lineRule="auto"/>
        <w:ind w:left="23" w:right="20" w:firstLine="640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 xml:space="preserve"> Запретить передавать в аренду водные объекты, указанные в </w:t>
      </w:r>
      <w:r w:rsidRPr="001E08BB">
        <w:rPr>
          <w:rStyle w:val="12"/>
          <w:sz w:val="28"/>
          <w:szCs w:val="28"/>
        </w:rPr>
        <w:t xml:space="preserve">приложении №3 </w:t>
      </w:r>
      <w:r w:rsidRPr="00B36382">
        <w:rPr>
          <w:rStyle w:val="12"/>
          <w:sz w:val="28"/>
          <w:szCs w:val="28"/>
        </w:rPr>
        <w:t>к настоящему Указу.</w:t>
      </w:r>
    </w:p>
    <w:p w:rsidR="00F72B17" w:rsidRPr="00B36382" w:rsidRDefault="00714AA2" w:rsidP="0093470B">
      <w:pPr>
        <w:pStyle w:val="25"/>
        <w:numPr>
          <w:ilvl w:val="0"/>
          <w:numId w:val="1"/>
        </w:numPr>
        <w:tabs>
          <w:tab w:val="left" w:pos="1270"/>
        </w:tabs>
        <w:spacing w:before="120" w:after="120" w:line="276" w:lineRule="auto"/>
        <w:ind w:left="23" w:firstLine="640"/>
        <w:rPr>
          <w:sz w:val="28"/>
          <w:szCs w:val="28"/>
        </w:rPr>
      </w:pPr>
      <w:r w:rsidRPr="00B36382">
        <w:rPr>
          <w:rStyle w:val="12"/>
          <w:sz w:val="28"/>
          <w:szCs w:val="28"/>
        </w:rPr>
        <w:t>Настоящий Указ вступает в силу с момента его подписания.</w:t>
      </w:r>
    </w:p>
    <w:p w:rsidR="001E08BB" w:rsidRDefault="001E08BB" w:rsidP="00513450">
      <w:pPr>
        <w:pStyle w:val="33"/>
        <w:spacing w:before="0" w:after="0" w:line="276" w:lineRule="auto"/>
        <w:ind w:left="20"/>
        <w:jc w:val="left"/>
        <w:rPr>
          <w:rStyle w:val="34"/>
          <w:b/>
          <w:bCs/>
          <w:sz w:val="28"/>
          <w:szCs w:val="28"/>
        </w:rPr>
      </w:pPr>
    </w:p>
    <w:p w:rsidR="001E08BB" w:rsidRDefault="001E08BB" w:rsidP="00513450">
      <w:pPr>
        <w:pStyle w:val="33"/>
        <w:spacing w:before="0" w:after="0" w:line="276" w:lineRule="auto"/>
        <w:ind w:left="20"/>
        <w:jc w:val="left"/>
        <w:rPr>
          <w:rStyle w:val="34"/>
          <w:b/>
          <w:bCs/>
          <w:sz w:val="28"/>
          <w:szCs w:val="28"/>
        </w:rPr>
      </w:pPr>
    </w:p>
    <w:p w:rsidR="00F72B17" w:rsidRPr="00B36382" w:rsidRDefault="00714AA2" w:rsidP="001E08BB">
      <w:pPr>
        <w:pStyle w:val="33"/>
        <w:spacing w:before="0" w:after="0" w:line="276" w:lineRule="auto"/>
        <w:ind w:left="20" w:firstLine="689"/>
        <w:jc w:val="left"/>
        <w:rPr>
          <w:sz w:val="28"/>
          <w:szCs w:val="28"/>
        </w:rPr>
      </w:pPr>
      <w:r w:rsidRPr="00B36382">
        <w:rPr>
          <w:rStyle w:val="34"/>
          <w:b/>
          <w:bCs/>
          <w:sz w:val="28"/>
          <w:szCs w:val="28"/>
        </w:rPr>
        <w:t>Глава</w:t>
      </w:r>
    </w:p>
    <w:p w:rsidR="00F72B17" w:rsidRPr="00B36382" w:rsidRDefault="00714AA2" w:rsidP="00513450">
      <w:pPr>
        <w:pStyle w:val="33"/>
        <w:spacing w:before="0" w:after="0" w:line="276" w:lineRule="auto"/>
        <w:ind w:left="20"/>
        <w:jc w:val="left"/>
        <w:rPr>
          <w:sz w:val="28"/>
          <w:szCs w:val="28"/>
        </w:rPr>
      </w:pPr>
      <w:r w:rsidRPr="00B36382">
        <w:rPr>
          <w:rStyle w:val="34"/>
          <w:b/>
          <w:bCs/>
          <w:sz w:val="28"/>
          <w:szCs w:val="28"/>
        </w:rPr>
        <w:t>Донецкой Народной</w:t>
      </w:r>
      <w:r w:rsidR="001E08BB">
        <w:rPr>
          <w:rStyle w:val="34"/>
          <w:b/>
          <w:bCs/>
          <w:sz w:val="28"/>
          <w:szCs w:val="28"/>
        </w:rPr>
        <w:t xml:space="preserve"> Республики                                               А. В. Захарченко </w:t>
      </w:r>
    </w:p>
    <w:p w:rsidR="001E08BB" w:rsidRDefault="001E08BB" w:rsidP="00513450">
      <w:pPr>
        <w:pStyle w:val="33"/>
        <w:spacing w:before="0" w:after="0" w:line="276" w:lineRule="auto"/>
        <w:ind w:left="20" w:right="20"/>
        <w:jc w:val="left"/>
        <w:rPr>
          <w:rStyle w:val="34"/>
          <w:b/>
          <w:bCs/>
          <w:sz w:val="28"/>
          <w:szCs w:val="28"/>
        </w:rPr>
      </w:pPr>
    </w:p>
    <w:p w:rsidR="001E08BB" w:rsidRDefault="001E08BB" w:rsidP="00513450">
      <w:pPr>
        <w:pStyle w:val="33"/>
        <w:spacing w:before="0" w:after="0" w:line="276" w:lineRule="auto"/>
        <w:ind w:left="20" w:right="20"/>
        <w:jc w:val="left"/>
        <w:rPr>
          <w:rStyle w:val="34"/>
          <w:b/>
          <w:bCs/>
          <w:sz w:val="28"/>
          <w:szCs w:val="28"/>
        </w:rPr>
      </w:pPr>
    </w:p>
    <w:p w:rsidR="00F72B17" w:rsidRPr="00B36382" w:rsidRDefault="00714AA2" w:rsidP="00513450">
      <w:pPr>
        <w:pStyle w:val="33"/>
        <w:spacing w:before="0" w:after="0" w:line="276" w:lineRule="auto"/>
        <w:ind w:left="20" w:right="20"/>
        <w:jc w:val="left"/>
        <w:rPr>
          <w:sz w:val="28"/>
          <w:szCs w:val="28"/>
        </w:rPr>
      </w:pPr>
      <w:r w:rsidRPr="00B36382">
        <w:rPr>
          <w:rStyle w:val="34"/>
          <w:b/>
          <w:bCs/>
          <w:sz w:val="28"/>
          <w:szCs w:val="28"/>
        </w:rPr>
        <w:t xml:space="preserve">г. Донецк </w:t>
      </w:r>
      <w:r w:rsidR="001E08BB">
        <w:rPr>
          <w:rStyle w:val="34"/>
          <w:b/>
          <w:bCs/>
          <w:sz w:val="28"/>
          <w:szCs w:val="28"/>
        </w:rPr>
        <w:br/>
      </w:r>
      <w:r w:rsidRPr="00B36382">
        <w:rPr>
          <w:rStyle w:val="34"/>
          <w:b/>
          <w:bCs/>
          <w:sz w:val="28"/>
          <w:szCs w:val="28"/>
        </w:rPr>
        <w:t>№327</w:t>
      </w:r>
    </w:p>
    <w:p w:rsidR="00F72B17" w:rsidRPr="00B36382" w:rsidRDefault="00714AA2" w:rsidP="00513450">
      <w:pPr>
        <w:pStyle w:val="33"/>
        <w:spacing w:before="0" w:after="0" w:line="276" w:lineRule="auto"/>
        <w:ind w:left="20"/>
        <w:jc w:val="left"/>
        <w:rPr>
          <w:sz w:val="28"/>
          <w:szCs w:val="28"/>
        </w:rPr>
      </w:pPr>
      <w:r w:rsidRPr="00B36382">
        <w:rPr>
          <w:rStyle w:val="34"/>
          <w:b/>
          <w:bCs/>
          <w:sz w:val="28"/>
          <w:szCs w:val="28"/>
        </w:rPr>
        <w:t>«</w:t>
      </w:r>
      <w:r w:rsidRPr="001E08BB">
        <w:rPr>
          <w:rStyle w:val="34"/>
          <w:b/>
          <w:bCs/>
          <w:sz w:val="28"/>
          <w:szCs w:val="28"/>
          <w:u w:val="single"/>
        </w:rPr>
        <w:t>28</w:t>
      </w:r>
      <w:r w:rsidRPr="00B36382">
        <w:rPr>
          <w:rStyle w:val="34"/>
          <w:b/>
          <w:bCs/>
          <w:sz w:val="28"/>
          <w:szCs w:val="28"/>
        </w:rPr>
        <w:t xml:space="preserve">» </w:t>
      </w:r>
      <w:r w:rsidRPr="001E08BB">
        <w:rPr>
          <w:rStyle w:val="34"/>
          <w:b/>
          <w:bCs/>
          <w:sz w:val="28"/>
          <w:szCs w:val="28"/>
          <w:u w:val="single"/>
        </w:rPr>
        <w:t>августа</w:t>
      </w:r>
      <w:r w:rsidRPr="00B36382">
        <w:rPr>
          <w:rStyle w:val="34"/>
          <w:b/>
          <w:bCs/>
          <w:sz w:val="28"/>
          <w:szCs w:val="28"/>
        </w:rPr>
        <w:t xml:space="preserve"> 2015 г.</w:t>
      </w:r>
    </w:p>
    <w:sectPr w:rsidR="00F72B17" w:rsidRPr="00B36382" w:rsidSect="00B36382">
      <w:type w:val="continuous"/>
      <w:pgSz w:w="11906" w:h="16838"/>
      <w:pgMar w:top="1418" w:right="991" w:bottom="209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013" w:rsidRDefault="00130013" w:rsidP="00F72B17">
      <w:r>
        <w:separator/>
      </w:r>
    </w:p>
  </w:endnote>
  <w:endnote w:type="continuationSeparator" w:id="1">
    <w:p w:rsidR="00130013" w:rsidRDefault="00130013" w:rsidP="00F72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013" w:rsidRDefault="00130013"/>
  </w:footnote>
  <w:footnote w:type="continuationSeparator" w:id="1">
    <w:p w:rsidR="00130013" w:rsidRDefault="001300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8680F"/>
    <w:multiLevelType w:val="multilevel"/>
    <w:tmpl w:val="D194C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72B17"/>
    <w:rsid w:val="00130013"/>
    <w:rsid w:val="001E08BB"/>
    <w:rsid w:val="00512FB1"/>
    <w:rsid w:val="00513450"/>
    <w:rsid w:val="005D0929"/>
    <w:rsid w:val="00714AA2"/>
    <w:rsid w:val="008A1ACA"/>
    <w:rsid w:val="0093470B"/>
    <w:rsid w:val="00AE33AC"/>
    <w:rsid w:val="00B36382"/>
    <w:rsid w:val="00B611A8"/>
    <w:rsid w:val="00F7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2B1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2B1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F72B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1">
    <w:name w:val="Заголовок №1"/>
    <w:basedOn w:val="1"/>
    <w:rsid w:val="00F72B17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F72B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Заголовок №2"/>
    <w:basedOn w:val="2"/>
    <w:rsid w:val="00F72B17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F72B17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F72B1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4pt">
    <w:name w:val="Основной текст (2) + 14 pt;Не курсив"/>
    <w:basedOn w:val="22"/>
    <w:rsid w:val="00F72B17"/>
    <w:rPr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22pt">
    <w:name w:val="Основной текст (2) + 22 pt;Не курсив"/>
    <w:basedOn w:val="22"/>
    <w:rsid w:val="00F72B17"/>
    <w:rPr>
      <w:i/>
      <w:iCs/>
      <w:color w:val="000000"/>
      <w:spacing w:val="0"/>
      <w:w w:val="100"/>
      <w:position w:val="0"/>
      <w:sz w:val="44"/>
      <w:szCs w:val="44"/>
    </w:rPr>
  </w:style>
  <w:style w:type="character" w:customStyle="1" w:styleId="a4">
    <w:name w:val="Основной текст_"/>
    <w:basedOn w:val="a0"/>
    <w:link w:val="25"/>
    <w:rsid w:val="00F72B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4"/>
    <w:rsid w:val="00F72B1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F72B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31">
    <w:name w:val="Заголовок №3"/>
    <w:basedOn w:val="3"/>
    <w:rsid w:val="00F72B17"/>
    <w:rPr>
      <w:color w:val="000000"/>
      <w:w w:val="100"/>
      <w:position w:val="0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F72B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4">
    <w:name w:val="Основной текст (3)"/>
    <w:basedOn w:val="32"/>
    <w:rsid w:val="00F72B1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F72B17"/>
    <w:pPr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20">
    <w:name w:val="Заголовок №2"/>
    <w:basedOn w:val="a"/>
    <w:link w:val="2"/>
    <w:rsid w:val="00F72B17"/>
    <w:pPr>
      <w:spacing w:after="240" w:line="336" w:lineRule="exact"/>
      <w:ind w:hanging="800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23">
    <w:name w:val="Основной текст (2)"/>
    <w:basedOn w:val="a"/>
    <w:link w:val="22"/>
    <w:rsid w:val="00F72B17"/>
    <w:pPr>
      <w:spacing w:before="600" w:after="240" w:line="293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5">
    <w:name w:val="Основной текст2"/>
    <w:basedOn w:val="a"/>
    <w:link w:val="a4"/>
    <w:rsid w:val="00F72B17"/>
    <w:pPr>
      <w:spacing w:before="240" w:after="240" w:line="28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F72B17"/>
    <w:pPr>
      <w:spacing w:before="2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33">
    <w:name w:val="Основной текст (3)"/>
    <w:basedOn w:val="a"/>
    <w:link w:val="32"/>
    <w:rsid w:val="00F72B17"/>
    <w:pPr>
      <w:spacing w:before="540" w:after="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styleId="a5">
    <w:name w:val="FollowedHyperlink"/>
    <w:basedOn w:val="a0"/>
    <w:uiPriority w:val="99"/>
    <w:semiHidden/>
    <w:unhideWhenUsed/>
    <w:rsid w:val="00B36382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47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70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postanovlenie-soveta-ministrov-dnr-10-18-ot-02-06-2015-g-ob-utverzhdenii-vremennogo-poryadka-o-predostavlenii-vodnyh-obektov-obshhegosudarstvennogo-znacheniya-v-arendu-opublikovano-20-06-2015-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0-18-ot-02-06-2015-g-ob-utverzhdenii-vremennogo-poryadka-o-predostavlenii-vodnyh-obektov-obshhegosudarstvennogo-znacheniya-v-arendu-opublikovano-20-06-2015-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0-18-ot-02-06-2015-g-ob-utverzhdenii-vremennogo-poryadka-o-predostavlenii-vodnyh-obektov-obshhegosudarstvennogo-znacheniya-v-arendu-opublikovano-20-06-2015-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2019-03-22T13:21:00Z</dcterms:created>
  <dcterms:modified xsi:type="dcterms:W3CDTF">2019-03-25T07:58:00Z</dcterms:modified>
</cp:coreProperties>
</file>