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629" w:rsidRDefault="00E53AD0" w:rsidP="004C5F9B">
      <w:pPr>
        <w:pStyle w:val="10"/>
        <w:keepNext/>
        <w:keepLines/>
        <w:spacing w:after="0" w:line="276" w:lineRule="auto"/>
        <w:ind w:left="20"/>
      </w:pPr>
      <w:r w:rsidRPr="00E53AD0">
        <w:drawing>
          <wp:inline distT="0" distB="0" distL="0" distR="0">
            <wp:extent cx="1143000" cy="952500"/>
            <wp:effectExtent l="19050" t="0" r="0" b="0"/>
            <wp:docPr id="2" name="Рисунок 1" descr="C:\Users\User\Desktop\доки\постановления совета министров\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672" cy="953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8BD" w:rsidRDefault="00482112" w:rsidP="00E53AD0">
      <w:pPr>
        <w:pStyle w:val="10"/>
        <w:keepNext/>
        <w:keepLines/>
        <w:spacing w:after="0" w:line="360" w:lineRule="auto"/>
        <w:ind w:left="20"/>
      </w:pPr>
      <w:r>
        <w:t>ПРАВИТЕЛЬСТВО</w:t>
      </w:r>
    </w:p>
    <w:p w:rsidR="00F468BD" w:rsidRDefault="00482112" w:rsidP="00E53AD0">
      <w:pPr>
        <w:pStyle w:val="10"/>
        <w:keepNext/>
        <w:keepLines/>
        <w:spacing w:after="0" w:line="360" w:lineRule="auto"/>
        <w:ind w:left="20"/>
      </w:pPr>
      <w:bookmarkStart w:id="0" w:name="bookmark0"/>
      <w:r>
        <w:t>ДОНЕЦКОЙ НАРОДНОЙ РЕСПУБЛИКИ</w:t>
      </w:r>
      <w:bookmarkEnd w:id="0"/>
    </w:p>
    <w:p w:rsidR="004C5F9B" w:rsidRDefault="004C5F9B" w:rsidP="004C5F9B">
      <w:pPr>
        <w:pStyle w:val="10"/>
        <w:keepNext/>
        <w:keepLines/>
        <w:spacing w:after="0" w:line="276" w:lineRule="auto"/>
        <w:ind w:left="20"/>
      </w:pPr>
    </w:p>
    <w:p w:rsidR="00F468BD" w:rsidRDefault="00482112" w:rsidP="004C5F9B">
      <w:pPr>
        <w:pStyle w:val="20"/>
        <w:keepNext/>
        <w:keepLines/>
        <w:spacing w:before="0" w:after="0" w:line="276" w:lineRule="auto"/>
        <w:ind w:left="20"/>
      </w:pPr>
      <w:bookmarkStart w:id="1" w:name="bookmark1"/>
      <w:r>
        <w:t>РАСПОРЯЖЕНИЕ</w:t>
      </w:r>
      <w:bookmarkEnd w:id="1"/>
    </w:p>
    <w:p w:rsidR="004C5F9B" w:rsidRDefault="004C5F9B" w:rsidP="004C5F9B">
      <w:pPr>
        <w:pStyle w:val="20"/>
        <w:keepNext/>
        <w:keepLines/>
        <w:spacing w:before="0" w:after="0" w:line="276" w:lineRule="auto"/>
        <w:ind w:left="20"/>
      </w:pPr>
    </w:p>
    <w:p w:rsidR="00F468BD" w:rsidRDefault="00482112" w:rsidP="004C5F9B">
      <w:pPr>
        <w:pStyle w:val="22"/>
        <w:spacing w:before="0" w:after="0" w:line="276" w:lineRule="auto"/>
        <w:ind w:left="20"/>
      </w:pPr>
      <w:r>
        <w:t xml:space="preserve">от 27 </w:t>
      </w:r>
      <w:r>
        <w:rPr>
          <w:rStyle w:val="23"/>
          <w:b/>
          <w:bCs/>
        </w:rPr>
        <w:t xml:space="preserve">декабря </w:t>
      </w:r>
      <w:r>
        <w:t xml:space="preserve">2018 </w:t>
      </w:r>
      <w:r>
        <w:rPr>
          <w:rStyle w:val="23"/>
          <w:b/>
          <w:bCs/>
        </w:rPr>
        <w:t xml:space="preserve">г. № </w:t>
      </w:r>
      <w:r>
        <w:t>14</w:t>
      </w:r>
    </w:p>
    <w:p w:rsidR="004C5F9B" w:rsidRDefault="004C5F9B" w:rsidP="004C5F9B">
      <w:pPr>
        <w:pStyle w:val="22"/>
        <w:spacing w:before="0" w:after="0" w:line="276" w:lineRule="auto"/>
        <w:ind w:left="20"/>
      </w:pPr>
    </w:p>
    <w:p w:rsidR="004C5F9B" w:rsidRDefault="004C5F9B" w:rsidP="004C5F9B">
      <w:pPr>
        <w:pStyle w:val="22"/>
        <w:spacing w:before="0" w:after="0" w:line="276" w:lineRule="auto"/>
        <w:ind w:left="20"/>
      </w:pPr>
    </w:p>
    <w:p w:rsidR="00F468BD" w:rsidRDefault="00482112" w:rsidP="004C5F9B">
      <w:pPr>
        <w:pStyle w:val="22"/>
        <w:spacing w:before="0" w:after="0" w:line="276" w:lineRule="auto"/>
        <w:ind w:right="13"/>
        <w:rPr>
          <w:rStyle w:val="23"/>
          <w:b/>
          <w:bCs/>
        </w:rPr>
      </w:pPr>
      <w:r>
        <w:t xml:space="preserve">Об открытии </w:t>
      </w:r>
      <w:r>
        <w:rPr>
          <w:rStyle w:val="23"/>
          <w:b/>
          <w:bCs/>
        </w:rPr>
        <w:t xml:space="preserve">текущих счетов коммунальному </w:t>
      </w:r>
      <w:r>
        <w:t xml:space="preserve">предприятию </w:t>
      </w:r>
      <w:r>
        <w:rPr>
          <w:rStyle w:val="23"/>
          <w:b/>
          <w:bCs/>
        </w:rPr>
        <w:t xml:space="preserve">«Компания «Вода Донбасса», </w:t>
      </w:r>
      <w:r>
        <w:t xml:space="preserve">его </w:t>
      </w:r>
      <w:r>
        <w:rPr>
          <w:rStyle w:val="23"/>
          <w:b/>
          <w:bCs/>
        </w:rPr>
        <w:t xml:space="preserve">обособленным подразделениям </w:t>
      </w:r>
      <w:r>
        <w:t xml:space="preserve">и </w:t>
      </w:r>
      <w:r w:rsidR="00853664">
        <w:rPr>
          <w:rStyle w:val="23"/>
          <w:b/>
          <w:bCs/>
        </w:rPr>
        <w:t>коммунальному предприятию «Дон</w:t>
      </w:r>
      <w:r>
        <w:rPr>
          <w:rStyle w:val="23"/>
          <w:b/>
          <w:bCs/>
        </w:rPr>
        <w:t xml:space="preserve">ецкгорводоканал» </w:t>
      </w:r>
      <w:r>
        <w:t xml:space="preserve">и их </w:t>
      </w:r>
      <w:r>
        <w:t>расчетно</w:t>
      </w:r>
      <w:r w:rsidR="00853664">
        <w:t>-</w:t>
      </w:r>
      <w:r>
        <w:rPr>
          <w:rStyle w:val="23"/>
          <w:b/>
          <w:bCs/>
        </w:rPr>
        <w:t>кассовом обслуживании</w:t>
      </w:r>
    </w:p>
    <w:p w:rsidR="004C5F9B" w:rsidRDefault="004C5F9B" w:rsidP="004C5F9B">
      <w:pPr>
        <w:pStyle w:val="22"/>
        <w:spacing w:before="0" w:after="0" w:line="276" w:lineRule="auto"/>
        <w:ind w:left="440" w:right="440" w:firstLine="900"/>
      </w:pPr>
    </w:p>
    <w:p w:rsidR="00F468BD" w:rsidRPr="00CC44C4" w:rsidRDefault="00482112" w:rsidP="00E53AD0">
      <w:pPr>
        <w:pStyle w:val="24"/>
        <w:spacing w:before="120" w:after="120" w:line="276" w:lineRule="auto"/>
        <w:ind w:left="20" w:right="20"/>
        <w:rPr>
          <w:sz w:val="26"/>
          <w:szCs w:val="26"/>
        </w:rPr>
      </w:pPr>
      <w:r w:rsidRPr="00CC44C4">
        <w:rPr>
          <w:rStyle w:val="11"/>
          <w:sz w:val="26"/>
          <w:szCs w:val="26"/>
        </w:rPr>
        <w:t xml:space="preserve">В целях урегулирования особенностей открытия </w:t>
      </w:r>
      <w:r w:rsidRPr="00CC44C4">
        <w:rPr>
          <w:sz w:val="26"/>
          <w:szCs w:val="26"/>
        </w:rPr>
        <w:t xml:space="preserve">Центральным </w:t>
      </w:r>
      <w:r w:rsidRPr="00CC44C4">
        <w:rPr>
          <w:rStyle w:val="11"/>
          <w:sz w:val="26"/>
          <w:szCs w:val="26"/>
        </w:rPr>
        <w:t xml:space="preserve">Республиканским Банком Донецкой Народной Республики текущих счетов коммунальному предприятию «Компания «Вода Донбасса», его обособленным подразделениям </w:t>
      </w:r>
      <w:r w:rsidRPr="00CC44C4">
        <w:rPr>
          <w:sz w:val="26"/>
          <w:szCs w:val="26"/>
        </w:rPr>
        <w:t xml:space="preserve">и </w:t>
      </w:r>
      <w:r w:rsidRPr="00CC44C4">
        <w:rPr>
          <w:rStyle w:val="11"/>
          <w:sz w:val="26"/>
          <w:szCs w:val="26"/>
        </w:rPr>
        <w:t xml:space="preserve">коммунальному </w:t>
      </w:r>
      <w:r w:rsidR="00CC44C4" w:rsidRPr="00CC44C4">
        <w:rPr>
          <w:rStyle w:val="11"/>
          <w:sz w:val="26"/>
          <w:szCs w:val="26"/>
        </w:rPr>
        <w:t>предприятию «Дон</w:t>
      </w:r>
      <w:r w:rsidRPr="00CC44C4">
        <w:rPr>
          <w:rStyle w:val="11"/>
          <w:sz w:val="26"/>
          <w:szCs w:val="26"/>
        </w:rPr>
        <w:t xml:space="preserve">ецкгорводоканал», которые не прошли государственную регистрацию на территории Донецкой Народной Республики, </w:t>
      </w:r>
      <w:r w:rsidRPr="00CC44C4">
        <w:rPr>
          <w:sz w:val="26"/>
          <w:szCs w:val="26"/>
        </w:rPr>
        <w:t xml:space="preserve">и их </w:t>
      </w:r>
      <w:r w:rsidRPr="00CC44C4">
        <w:rPr>
          <w:rStyle w:val="11"/>
          <w:sz w:val="26"/>
          <w:szCs w:val="26"/>
        </w:rPr>
        <w:t>расчетно-кассового обслуживания:</w:t>
      </w:r>
    </w:p>
    <w:p w:rsidR="00F468BD" w:rsidRPr="00CC44C4" w:rsidRDefault="00482112" w:rsidP="00E53AD0">
      <w:pPr>
        <w:pStyle w:val="24"/>
        <w:numPr>
          <w:ilvl w:val="0"/>
          <w:numId w:val="1"/>
        </w:numPr>
        <w:spacing w:before="120" w:after="120" w:line="276" w:lineRule="auto"/>
        <w:ind w:left="20" w:right="20"/>
        <w:rPr>
          <w:sz w:val="26"/>
          <w:szCs w:val="26"/>
        </w:rPr>
      </w:pPr>
      <w:r w:rsidRPr="00CC44C4">
        <w:rPr>
          <w:sz w:val="26"/>
          <w:szCs w:val="26"/>
        </w:rPr>
        <w:t xml:space="preserve"> </w:t>
      </w:r>
      <w:r w:rsidRPr="00CC44C4">
        <w:rPr>
          <w:rStyle w:val="11"/>
          <w:sz w:val="26"/>
          <w:szCs w:val="26"/>
        </w:rPr>
        <w:t>Центральному Республиканскому Банку Донецкой Народной Республики осуществлять коммунальному п</w:t>
      </w:r>
      <w:r w:rsidRPr="00CC44C4">
        <w:rPr>
          <w:rStyle w:val="11"/>
          <w:sz w:val="26"/>
          <w:szCs w:val="26"/>
        </w:rPr>
        <w:t xml:space="preserve">редприятию «Компания «Вода Донбасса», его обособленным подразделениям </w:t>
      </w:r>
      <w:r w:rsidRPr="00CC44C4">
        <w:rPr>
          <w:sz w:val="26"/>
          <w:szCs w:val="26"/>
        </w:rPr>
        <w:t xml:space="preserve">и </w:t>
      </w:r>
      <w:r w:rsidRPr="00CC44C4">
        <w:rPr>
          <w:rStyle w:val="11"/>
          <w:sz w:val="26"/>
          <w:szCs w:val="26"/>
        </w:rPr>
        <w:t xml:space="preserve">коммунальному </w:t>
      </w:r>
      <w:r w:rsidRPr="00CC44C4">
        <w:rPr>
          <w:sz w:val="26"/>
          <w:szCs w:val="26"/>
        </w:rPr>
        <w:t xml:space="preserve">предприятию </w:t>
      </w:r>
      <w:r w:rsidR="00CC44C4" w:rsidRPr="00CC44C4">
        <w:rPr>
          <w:rStyle w:val="11"/>
          <w:sz w:val="26"/>
          <w:szCs w:val="26"/>
        </w:rPr>
        <w:t>«Дон</w:t>
      </w:r>
      <w:r w:rsidRPr="00CC44C4">
        <w:rPr>
          <w:rStyle w:val="11"/>
          <w:sz w:val="26"/>
          <w:szCs w:val="26"/>
        </w:rPr>
        <w:t xml:space="preserve">ецкгорводоканал», открытие текущих счетов </w:t>
      </w:r>
      <w:r w:rsidRPr="00CC44C4">
        <w:rPr>
          <w:sz w:val="26"/>
          <w:szCs w:val="26"/>
        </w:rPr>
        <w:t xml:space="preserve">и </w:t>
      </w:r>
      <w:r w:rsidRPr="00CC44C4">
        <w:rPr>
          <w:rStyle w:val="11"/>
          <w:sz w:val="26"/>
          <w:szCs w:val="26"/>
        </w:rPr>
        <w:t xml:space="preserve">их расчетно-кассовое обслуживание, расчетно-кассовое обслуживание по уже открытым </w:t>
      </w:r>
      <w:r w:rsidRPr="00CC44C4">
        <w:rPr>
          <w:sz w:val="26"/>
          <w:szCs w:val="26"/>
        </w:rPr>
        <w:t xml:space="preserve">текущим </w:t>
      </w:r>
      <w:r w:rsidRPr="00CC44C4">
        <w:rPr>
          <w:rStyle w:val="11"/>
          <w:sz w:val="26"/>
          <w:szCs w:val="26"/>
        </w:rPr>
        <w:t xml:space="preserve">счетам на основании </w:t>
      </w:r>
      <w:r w:rsidRPr="00CC44C4">
        <w:rPr>
          <w:rStyle w:val="11"/>
          <w:sz w:val="26"/>
          <w:szCs w:val="26"/>
        </w:rPr>
        <w:t xml:space="preserve">ходатайства профильного республиканского органа исполнительной власти, в сферу управления которого входит регулирование хозяйственной деятельности коммунального предприятия «Компания «Вода Донбасса», его обособленных подразделений и коммунального </w:t>
      </w:r>
      <w:r w:rsidRPr="00CC44C4">
        <w:rPr>
          <w:sz w:val="26"/>
          <w:szCs w:val="26"/>
        </w:rPr>
        <w:t>предприят</w:t>
      </w:r>
      <w:r w:rsidRPr="00CC44C4">
        <w:rPr>
          <w:sz w:val="26"/>
          <w:szCs w:val="26"/>
        </w:rPr>
        <w:t xml:space="preserve">ия </w:t>
      </w:r>
      <w:r w:rsidR="00CC44C4" w:rsidRPr="00CC44C4">
        <w:rPr>
          <w:rStyle w:val="11"/>
          <w:sz w:val="26"/>
          <w:szCs w:val="26"/>
        </w:rPr>
        <w:t>«Дон</w:t>
      </w:r>
      <w:r w:rsidRPr="00CC44C4">
        <w:rPr>
          <w:rStyle w:val="11"/>
          <w:sz w:val="26"/>
          <w:szCs w:val="26"/>
        </w:rPr>
        <w:t xml:space="preserve">ецкгорводоканал» (прилагается), изложенного на бланке профильного республиканского органа исполнительной власти, </w:t>
      </w:r>
      <w:r w:rsidRPr="00CC44C4">
        <w:rPr>
          <w:sz w:val="26"/>
          <w:szCs w:val="26"/>
        </w:rPr>
        <w:t xml:space="preserve">и </w:t>
      </w:r>
      <w:r w:rsidRPr="00CC44C4">
        <w:rPr>
          <w:rStyle w:val="11"/>
          <w:sz w:val="26"/>
          <w:szCs w:val="26"/>
        </w:rPr>
        <w:t xml:space="preserve">документов, </w:t>
      </w:r>
      <w:r w:rsidRPr="00CC44C4">
        <w:rPr>
          <w:sz w:val="26"/>
          <w:szCs w:val="26"/>
        </w:rPr>
        <w:t xml:space="preserve">выданных </w:t>
      </w:r>
      <w:r w:rsidRPr="00CC44C4">
        <w:rPr>
          <w:rStyle w:val="11"/>
          <w:sz w:val="26"/>
          <w:szCs w:val="26"/>
        </w:rPr>
        <w:t xml:space="preserve">компетентными органами государства, </w:t>
      </w:r>
      <w:r w:rsidRPr="00CC44C4">
        <w:rPr>
          <w:sz w:val="26"/>
          <w:szCs w:val="26"/>
        </w:rPr>
        <w:t xml:space="preserve">в </w:t>
      </w:r>
      <w:r w:rsidRPr="00CC44C4">
        <w:rPr>
          <w:rStyle w:val="11"/>
          <w:sz w:val="26"/>
          <w:szCs w:val="26"/>
        </w:rPr>
        <w:t xml:space="preserve">котором коммунальное </w:t>
      </w:r>
      <w:r w:rsidRPr="00CC44C4">
        <w:rPr>
          <w:sz w:val="26"/>
          <w:szCs w:val="26"/>
        </w:rPr>
        <w:t xml:space="preserve">предприятие </w:t>
      </w:r>
      <w:r w:rsidRPr="00CC44C4">
        <w:rPr>
          <w:rStyle w:val="11"/>
          <w:sz w:val="26"/>
          <w:szCs w:val="26"/>
        </w:rPr>
        <w:t>«Компания «Вода Донбасса», его обособленны</w:t>
      </w:r>
      <w:r w:rsidRPr="00CC44C4">
        <w:rPr>
          <w:rStyle w:val="11"/>
          <w:sz w:val="26"/>
          <w:szCs w:val="26"/>
        </w:rPr>
        <w:t>е подразделения</w:t>
      </w:r>
      <w:r w:rsidR="00CC44C4" w:rsidRPr="00CC44C4">
        <w:rPr>
          <w:rStyle w:val="11"/>
          <w:sz w:val="26"/>
          <w:szCs w:val="26"/>
        </w:rPr>
        <w:t xml:space="preserve"> и коммунальное предприятие «Дон</w:t>
      </w:r>
      <w:r w:rsidRPr="00CC44C4">
        <w:rPr>
          <w:rStyle w:val="11"/>
          <w:sz w:val="26"/>
          <w:szCs w:val="26"/>
        </w:rPr>
        <w:t>ецкгорводоканал» прошли государственную регистрацию.</w:t>
      </w:r>
    </w:p>
    <w:p w:rsidR="00F468BD" w:rsidRPr="00CC44C4" w:rsidRDefault="00482112" w:rsidP="00E53AD0">
      <w:pPr>
        <w:pStyle w:val="24"/>
        <w:numPr>
          <w:ilvl w:val="0"/>
          <w:numId w:val="1"/>
        </w:numPr>
        <w:spacing w:before="120" w:after="120" w:line="276" w:lineRule="auto"/>
        <w:ind w:left="20" w:right="20"/>
        <w:rPr>
          <w:sz w:val="26"/>
          <w:szCs w:val="26"/>
        </w:rPr>
      </w:pPr>
      <w:r w:rsidRPr="00CC44C4">
        <w:rPr>
          <w:rStyle w:val="11"/>
          <w:sz w:val="26"/>
          <w:szCs w:val="26"/>
        </w:rPr>
        <w:t xml:space="preserve"> Установить, что требования Приказа Министерства доходов </w:t>
      </w:r>
      <w:r w:rsidRPr="00CC44C4">
        <w:rPr>
          <w:sz w:val="26"/>
          <w:szCs w:val="26"/>
        </w:rPr>
        <w:t xml:space="preserve">и </w:t>
      </w:r>
      <w:r w:rsidRPr="00CC44C4">
        <w:rPr>
          <w:rStyle w:val="11"/>
          <w:sz w:val="26"/>
          <w:szCs w:val="26"/>
        </w:rPr>
        <w:t xml:space="preserve">сборов Донецкой Народной Республики от 29 декабря 2017 </w:t>
      </w:r>
      <w:r w:rsidRPr="00CC44C4">
        <w:rPr>
          <w:sz w:val="26"/>
          <w:szCs w:val="26"/>
        </w:rPr>
        <w:t xml:space="preserve">г. </w:t>
      </w:r>
      <w:r w:rsidRPr="00CC44C4">
        <w:rPr>
          <w:rStyle w:val="11"/>
          <w:sz w:val="26"/>
          <w:szCs w:val="26"/>
        </w:rPr>
        <w:t xml:space="preserve">№ 294 «Об утверждении </w:t>
      </w:r>
      <w:r w:rsidRPr="00CC44C4">
        <w:rPr>
          <w:rStyle w:val="11"/>
          <w:sz w:val="26"/>
          <w:szCs w:val="26"/>
        </w:rPr>
        <w:lastRenderedPageBreak/>
        <w:t>Порядка предостав</w:t>
      </w:r>
      <w:r w:rsidRPr="00CC44C4">
        <w:rPr>
          <w:rStyle w:val="11"/>
          <w:sz w:val="26"/>
          <w:szCs w:val="26"/>
        </w:rPr>
        <w:t>ления уведомлений об открытии/закрытии счетов</w:t>
      </w:r>
      <w:r w:rsidR="00CC44C4" w:rsidRPr="00CC44C4">
        <w:rPr>
          <w:rStyle w:val="11"/>
          <w:sz w:val="26"/>
          <w:szCs w:val="26"/>
        </w:rPr>
        <w:t xml:space="preserve"> </w:t>
      </w:r>
      <w:r w:rsidRPr="00CC44C4">
        <w:rPr>
          <w:sz w:val="26"/>
          <w:szCs w:val="26"/>
        </w:rPr>
        <w:t>налогоплательщиков в банках и других финансовых учреждениях в органы доходов и сборов Донецкой Народной Республики (зарегистрирован в Министерстве юстиции Донецкой Народной Республики 29 января 2018 г., регист</w:t>
      </w:r>
      <w:r w:rsidRPr="00CC44C4">
        <w:rPr>
          <w:sz w:val="26"/>
          <w:szCs w:val="26"/>
        </w:rPr>
        <w:t>рационный №</w:t>
      </w:r>
      <w:r w:rsidRPr="00CC44C4">
        <w:rPr>
          <w:sz w:val="26"/>
          <w:szCs w:val="26"/>
        </w:rPr>
        <w:tab/>
        <w:t>2458) не распространяются на Центральный Республиканский Банк Донецкой Народной Республики относительно предоставления уведомлений</w:t>
      </w:r>
      <w:r w:rsidRPr="00CC44C4">
        <w:rPr>
          <w:sz w:val="26"/>
          <w:szCs w:val="26"/>
        </w:rPr>
        <w:tab/>
        <w:t>об открытии/закрытии текущих счетов коммунального предприятия «Компания «Вода Донбасса», его обособленных подразд</w:t>
      </w:r>
      <w:r w:rsidRPr="00CC44C4">
        <w:rPr>
          <w:sz w:val="26"/>
          <w:szCs w:val="26"/>
        </w:rPr>
        <w:t>елений и коммунального предприятия «Донецкгорводоканал».</w:t>
      </w:r>
    </w:p>
    <w:p w:rsidR="00F468BD" w:rsidRPr="00CC44C4" w:rsidRDefault="00482112" w:rsidP="00E53AD0">
      <w:pPr>
        <w:pStyle w:val="30"/>
        <w:numPr>
          <w:ilvl w:val="0"/>
          <w:numId w:val="1"/>
        </w:numPr>
        <w:tabs>
          <w:tab w:val="left" w:pos="1276"/>
        </w:tabs>
        <w:spacing w:before="120" w:after="120" w:line="276" w:lineRule="auto"/>
        <w:ind w:right="20" w:firstLine="720"/>
      </w:pPr>
      <w:r w:rsidRPr="00CC44C4">
        <w:t xml:space="preserve"> Контроль исполнения</w:t>
      </w:r>
      <w:r w:rsidRPr="00CC44C4">
        <w:tab/>
        <w:t>настоящего Распоряжения возложить на Центральный Республиканский Банк Донецкой Народной Республики и Министерство доходов и сборов Донецкой Народной Республики.</w:t>
      </w:r>
    </w:p>
    <w:p w:rsidR="00F468BD" w:rsidRPr="00CC44C4" w:rsidRDefault="00482112" w:rsidP="00E53AD0">
      <w:pPr>
        <w:pStyle w:val="30"/>
        <w:numPr>
          <w:ilvl w:val="0"/>
          <w:numId w:val="1"/>
        </w:numPr>
        <w:spacing w:before="120" w:after="120" w:line="276" w:lineRule="auto"/>
        <w:ind w:firstLine="720"/>
      </w:pPr>
      <w:r w:rsidRPr="00CC44C4">
        <w:t xml:space="preserve"> Настоящее Распоряжение вступает в силу со дня подписания.</w:t>
      </w:r>
    </w:p>
    <w:p w:rsidR="00CC44C4" w:rsidRPr="00CC44C4" w:rsidRDefault="00CC44C4" w:rsidP="00CC44C4">
      <w:pPr>
        <w:pStyle w:val="30"/>
        <w:spacing w:line="276" w:lineRule="auto"/>
      </w:pPr>
    </w:p>
    <w:p w:rsidR="00CC44C4" w:rsidRPr="00CC44C4" w:rsidRDefault="00CC44C4" w:rsidP="00CC44C4">
      <w:pPr>
        <w:pStyle w:val="30"/>
        <w:spacing w:line="276" w:lineRule="auto"/>
      </w:pPr>
    </w:p>
    <w:p w:rsidR="00CC44C4" w:rsidRPr="00CC44C4" w:rsidRDefault="00CC44C4" w:rsidP="00CC44C4">
      <w:pPr>
        <w:pStyle w:val="30"/>
        <w:spacing w:line="276" w:lineRule="auto"/>
      </w:pPr>
    </w:p>
    <w:p w:rsidR="00CC44C4" w:rsidRPr="00CC44C4" w:rsidRDefault="00482112" w:rsidP="00CC44C4">
      <w:pPr>
        <w:pStyle w:val="22"/>
        <w:spacing w:before="0" w:after="0" w:line="276" w:lineRule="auto"/>
        <w:ind w:left="100"/>
        <w:jc w:val="left"/>
      </w:pPr>
      <w:r w:rsidRPr="00CC44C4">
        <w:t>Председатель Правительства</w:t>
      </w:r>
      <w:r w:rsidR="00CC44C4" w:rsidRPr="00CC44C4">
        <w:t xml:space="preserve">                                                             </w:t>
      </w:r>
      <w:r w:rsidR="00CC44C4" w:rsidRPr="00CC44C4">
        <w:rPr>
          <w:rStyle w:val="2Exact"/>
          <w:b/>
          <w:bCs/>
          <w:spacing w:val="0"/>
        </w:rPr>
        <w:t>А. Е. Ананченко</w:t>
      </w:r>
    </w:p>
    <w:p w:rsidR="00F468BD" w:rsidRDefault="00F468BD" w:rsidP="004C5F9B">
      <w:pPr>
        <w:pStyle w:val="22"/>
        <w:spacing w:before="0" w:after="0" w:line="276" w:lineRule="auto"/>
        <w:jc w:val="both"/>
      </w:pPr>
    </w:p>
    <w:p w:rsidR="00072617" w:rsidRDefault="00072617" w:rsidP="004C5F9B">
      <w:pPr>
        <w:pStyle w:val="22"/>
        <w:spacing w:before="0" w:after="0" w:line="276" w:lineRule="auto"/>
        <w:jc w:val="both"/>
      </w:pPr>
    </w:p>
    <w:p w:rsidR="00072617" w:rsidRDefault="00072617" w:rsidP="004C5F9B">
      <w:pPr>
        <w:pStyle w:val="22"/>
        <w:spacing w:before="0" w:after="0" w:line="276" w:lineRule="auto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6124575" cy="7686675"/>
            <wp:effectExtent l="19050" t="0" r="9525" b="0"/>
            <wp:docPr id="3" name="Рисунок 2" descr="C:\Users\User\Desktop\доки\постановления совета министров\28.03\Р-14\rasporiazhSovMinN14_2712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8.03\Р-14\rasporiazhSovMinN14_2712201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68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2617" w:rsidSect="00E53AD0">
      <w:type w:val="continuous"/>
      <w:pgSz w:w="11906" w:h="16838"/>
      <w:pgMar w:top="993" w:right="1126" w:bottom="1276" w:left="112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112" w:rsidRDefault="00482112" w:rsidP="00F468BD">
      <w:r>
        <w:separator/>
      </w:r>
    </w:p>
  </w:endnote>
  <w:endnote w:type="continuationSeparator" w:id="1">
    <w:p w:rsidR="00482112" w:rsidRDefault="00482112" w:rsidP="00F468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112" w:rsidRDefault="00482112"/>
  </w:footnote>
  <w:footnote w:type="continuationSeparator" w:id="1">
    <w:p w:rsidR="00482112" w:rsidRDefault="0048211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03DC5"/>
    <w:multiLevelType w:val="multilevel"/>
    <w:tmpl w:val="03205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468BD"/>
    <w:rsid w:val="00072617"/>
    <w:rsid w:val="000F3DB8"/>
    <w:rsid w:val="00482112"/>
    <w:rsid w:val="004C5F9B"/>
    <w:rsid w:val="004F1EC4"/>
    <w:rsid w:val="00853664"/>
    <w:rsid w:val="00B60EAA"/>
    <w:rsid w:val="00C46629"/>
    <w:rsid w:val="00CC44C4"/>
    <w:rsid w:val="00E53AD0"/>
    <w:rsid w:val="00F4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68B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468B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F468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1">
    <w:name w:val="Заголовок №1_"/>
    <w:basedOn w:val="a0"/>
    <w:link w:val="10"/>
    <w:rsid w:val="00F468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sid w:val="00F468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F468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sid w:val="00F468B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4"/>
    <w:rsid w:val="00F46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sid w:val="00F468B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F46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F468BD"/>
    <w:pPr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F468BD"/>
    <w:pPr>
      <w:spacing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36"/>
      <w:szCs w:val="36"/>
    </w:rPr>
  </w:style>
  <w:style w:type="paragraph" w:customStyle="1" w:styleId="20">
    <w:name w:val="Заголовок №2"/>
    <w:basedOn w:val="a"/>
    <w:link w:val="2"/>
    <w:rsid w:val="00F468BD"/>
    <w:pPr>
      <w:spacing w:before="36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4">
    <w:name w:val="Основной текст2"/>
    <w:basedOn w:val="a"/>
    <w:link w:val="a4"/>
    <w:rsid w:val="00F468BD"/>
    <w:pPr>
      <w:spacing w:before="600" w:after="240" w:line="322" w:lineRule="exact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F468BD"/>
    <w:pPr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B60E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0EA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2019-03-28T08:59:00Z</dcterms:created>
  <dcterms:modified xsi:type="dcterms:W3CDTF">2019-03-28T09:22:00Z</dcterms:modified>
</cp:coreProperties>
</file>