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0D" w:rsidRDefault="001A520D" w:rsidP="00706717">
      <w:pPr>
        <w:pStyle w:val="10"/>
        <w:keepNext/>
        <w:keepLines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1052830" cy="903605"/>
            <wp:effectExtent l="1905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492" w:rsidRDefault="00633DA1" w:rsidP="00706717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834492" w:rsidRDefault="00633DA1" w:rsidP="00706717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706717" w:rsidRDefault="00706717" w:rsidP="00706717">
      <w:pPr>
        <w:pStyle w:val="10"/>
        <w:keepNext/>
        <w:keepLines/>
        <w:spacing w:after="0" w:line="276" w:lineRule="auto"/>
        <w:ind w:left="20"/>
      </w:pPr>
    </w:p>
    <w:p w:rsidR="00834492" w:rsidRDefault="00633DA1" w:rsidP="00706717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706717" w:rsidRDefault="00706717" w:rsidP="00706717">
      <w:pPr>
        <w:pStyle w:val="20"/>
        <w:keepNext/>
        <w:keepLines/>
        <w:spacing w:before="0" w:after="0" w:line="276" w:lineRule="auto"/>
        <w:ind w:left="20"/>
      </w:pPr>
    </w:p>
    <w:p w:rsidR="00834492" w:rsidRDefault="00633DA1" w:rsidP="00706717">
      <w:pPr>
        <w:pStyle w:val="30"/>
        <w:keepNext/>
        <w:keepLines/>
        <w:spacing w:before="0" w:after="0" w:line="276" w:lineRule="auto"/>
        <w:ind w:left="20"/>
      </w:pPr>
      <w:r>
        <w:t>от 28 марта 2019 г. № 5-16</w:t>
      </w:r>
    </w:p>
    <w:p w:rsidR="00706717" w:rsidRDefault="00706717" w:rsidP="00706717">
      <w:pPr>
        <w:pStyle w:val="30"/>
        <w:keepNext/>
        <w:keepLines/>
        <w:spacing w:before="0" w:after="0" w:line="276" w:lineRule="auto"/>
        <w:ind w:left="20"/>
      </w:pPr>
    </w:p>
    <w:p w:rsidR="00706717" w:rsidRDefault="00706717" w:rsidP="00706717">
      <w:pPr>
        <w:pStyle w:val="30"/>
        <w:keepNext/>
        <w:keepLines/>
        <w:spacing w:before="0" w:after="0" w:line="276" w:lineRule="auto"/>
        <w:ind w:left="20"/>
      </w:pPr>
    </w:p>
    <w:p w:rsidR="00834492" w:rsidRDefault="00633DA1" w:rsidP="00706717">
      <w:pPr>
        <w:pStyle w:val="30"/>
        <w:keepNext/>
        <w:keepLines/>
        <w:spacing w:before="0" w:after="0" w:line="276" w:lineRule="auto"/>
        <w:ind w:left="20"/>
      </w:pPr>
      <w:bookmarkStart w:id="2" w:name="bookmark2"/>
      <w:r>
        <w:t>Об утверждении Общего порядка и условий применения технических</w:t>
      </w:r>
      <w:bookmarkEnd w:id="2"/>
    </w:p>
    <w:p w:rsidR="00834492" w:rsidRDefault="00633DA1" w:rsidP="00706717">
      <w:pPr>
        <w:pStyle w:val="30"/>
        <w:keepNext/>
        <w:keepLines/>
        <w:spacing w:before="0" w:after="0" w:line="276" w:lineRule="auto"/>
        <w:ind w:left="20"/>
      </w:pPr>
      <w:r>
        <w:t>устройств на опасных производственных объектах</w:t>
      </w:r>
    </w:p>
    <w:p w:rsidR="00706717" w:rsidRDefault="00706717" w:rsidP="00706717">
      <w:pPr>
        <w:pStyle w:val="30"/>
        <w:keepNext/>
        <w:keepLines/>
        <w:spacing w:before="0" w:after="0" w:line="276" w:lineRule="auto"/>
        <w:ind w:left="20"/>
      </w:pPr>
    </w:p>
    <w:p w:rsidR="00706717" w:rsidRDefault="00706717" w:rsidP="00706717">
      <w:pPr>
        <w:pStyle w:val="30"/>
        <w:keepNext/>
        <w:keepLines/>
        <w:spacing w:before="0" w:after="0" w:line="276" w:lineRule="auto"/>
        <w:ind w:left="20"/>
      </w:pPr>
    </w:p>
    <w:p w:rsidR="00834492" w:rsidRDefault="00633DA1" w:rsidP="00706717">
      <w:pPr>
        <w:pStyle w:val="21"/>
        <w:spacing w:before="0" w:after="0" w:line="276" w:lineRule="auto"/>
        <w:ind w:firstLine="720"/>
      </w:pPr>
      <w:r>
        <w:t xml:space="preserve">В целях установления общего порядка и условий применения технических устройств на опасных производственных объектах, в соответствии с частью 4 статьи 7 </w:t>
      </w:r>
      <w:hyperlink r:id="rId8" w:history="1">
        <w:r w:rsidRPr="00FF057F">
          <w:rPr>
            <w:rStyle w:val="a3"/>
          </w:rPr>
          <w:t xml:space="preserve">Закона Донецкой Народной Республики от 05 июня 2015 года № </w:t>
        </w:r>
        <w:r w:rsidRPr="00FF057F">
          <w:rPr>
            <w:rStyle w:val="a3"/>
            <w:lang w:eastAsia="en-US" w:bidi="en-US"/>
          </w:rPr>
          <w:t>54-</w:t>
        </w:r>
        <w:r w:rsidRPr="00FF057F">
          <w:rPr>
            <w:rStyle w:val="a3"/>
            <w:lang w:val="en-US" w:eastAsia="en-US" w:bidi="en-US"/>
          </w:rPr>
          <w:t>IHC</w:t>
        </w:r>
        <w:r w:rsidRPr="00FF057F">
          <w:rPr>
            <w:rStyle w:val="a3"/>
            <w:lang w:eastAsia="en-US" w:bidi="en-US"/>
          </w:rPr>
          <w:t xml:space="preserve"> </w:t>
        </w:r>
        <w:r w:rsidRPr="00FF057F">
          <w:rPr>
            <w:rStyle w:val="a3"/>
          </w:rPr>
          <w:t>«О промышленной безопасности опасных п</w:t>
        </w:r>
        <w:r w:rsidRPr="00FF057F">
          <w:rPr>
            <w:rStyle w:val="a3"/>
          </w:rPr>
          <w:t>роизводственных объектов»</w:t>
        </w:r>
      </w:hyperlink>
      <w:r>
        <w:t>, Правительство Донецкой Народной Республики</w:t>
      </w:r>
    </w:p>
    <w:p w:rsidR="00706717" w:rsidRDefault="00706717" w:rsidP="00706717">
      <w:pPr>
        <w:pStyle w:val="21"/>
        <w:spacing w:before="0" w:after="0" w:line="276" w:lineRule="auto"/>
        <w:ind w:firstLine="720"/>
      </w:pPr>
    </w:p>
    <w:p w:rsidR="00834492" w:rsidRDefault="00633DA1" w:rsidP="00706717">
      <w:pPr>
        <w:pStyle w:val="30"/>
        <w:keepNext/>
        <w:keepLines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706717" w:rsidRDefault="00706717" w:rsidP="00706717">
      <w:pPr>
        <w:pStyle w:val="30"/>
        <w:keepNext/>
        <w:keepLines/>
        <w:spacing w:before="0" w:after="0" w:line="276" w:lineRule="auto"/>
        <w:jc w:val="left"/>
      </w:pPr>
    </w:p>
    <w:p w:rsidR="00834492" w:rsidRDefault="00633DA1" w:rsidP="00706717">
      <w:pPr>
        <w:pStyle w:val="2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Утвердить Общий порядок и условия применения технических устройств на опасных производственных объектах (прилагается).</w:t>
      </w:r>
    </w:p>
    <w:p w:rsidR="00834492" w:rsidRDefault="00633DA1" w:rsidP="00706717">
      <w:pPr>
        <w:pStyle w:val="2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Возложить на Государственный Комитет горного и техн</w:t>
      </w:r>
      <w:r>
        <w:t>ического надзора Донецкой Народной Республики координацию и контроль за деятельностью по применению технических устройств на опасных производственных объектах.</w:t>
      </w:r>
    </w:p>
    <w:p w:rsidR="00834492" w:rsidRDefault="00633DA1" w:rsidP="00706717">
      <w:pPr>
        <w:pStyle w:val="2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Настоящее Постановление вступает в силу со дня официального опубликования.</w:t>
      </w:r>
    </w:p>
    <w:p w:rsidR="00706717" w:rsidRDefault="00706717" w:rsidP="00706717">
      <w:pPr>
        <w:pStyle w:val="21"/>
        <w:spacing w:before="0" w:after="0" w:line="276" w:lineRule="auto"/>
      </w:pPr>
    </w:p>
    <w:p w:rsidR="00706717" w:rsidRDefault="00706717" w:rsidP="00706717">
      <w:pPr>
        <w:pStyle w:val="21"/>
        <w:spacing w:before="0" w:after="0" w:line="276" w:lineRule="auto"/>
      </w:pPr>
    </w:p>
    <w:p w:rsidR="00706717" w:rsidRDefault="00633DA1" w:rsidP="00706717">
      <w:pPr>
        <w:pStyle w:val="23"/>
        <w:spacing w:before="0" w:line="276" w:lineRule="auto"/>
        <w:ind w:left="100"/>
        <w:rPr>
          <w:rStyle w:val="2Exact"/>
          <w:b/>
          <w:bCs/>
          <w:spacing w:val="0"/>
        </w:rPr>
      </w:pPr>
      <w:r>
        <w:t>Председатель Правительства</w:t>
      </w:r>
      <w:r w:rsidR="00706717">
        <w:t xml:space="preserve">                                                              </w:t>
      </w:r>
      <w:r w:rsidR="00706717">
        <w:rPr>
          <w:rStyle w:val="2Exact"/>
          <w:b/>
          <w:bCs/>
          <w:spacing w:val="0"/>
        </w:rPr>
        <w:t>А. Е. Ананченко</w:t>
      </w:r>
    </w:p>
    <w:p w:rsidR="005419BB" w:rsidRDefault="005419BB" w:rsidP="00706717">
      <w:pPr>
        <w:pStyle w:val="23"/>
        <w:spacing w:before="0" w:line="276" w:lineRule="auto"/>
        <w:ind w:left="100"/>
        <w:rPr>
          <w:rStyle w:val="2Exact"/>
          <w:b/>
          <w:bCs/>
          <w:spacing w:val="0"/>
        </w:rPr>
      </w:pPr>
    </w:p>
    <w:p w:rsidR="005419BB" w:rsidRDefault="005419BB" w:rsidP="00706717">
      <w:pPr>
        <w:pStyle w:val="23"/>
        <w:spacing w:before="0" w:line="276" w:lineRule="auto"/>
        <w:ind w:left="100"/>
        <w:rPr>
          <w:rStyle w:val="2Exact"/>
          <w:b/>
          <w:bCs/>
          <w:spacing w:val="0"/>
        </w:rPr>
      </w:pPr>
    </w:p>
    <w:p w:rsidR="005419BB" w:rsidRDefault="005419BB" w:rsidP="00706717">
      <w:pPr>
        <w:pStyle w:val="23"/>
        <w:spacing w:before="0" w:line="276" w:lineRule="auto"/>
        <w:ind w:left="100"/>
      </w:pPr>
    </w:p>
    <w:p w:rsidR="00834492" w:rsidRDefault="00834492" w:rsidP="00706717">
      <w:pPr>
        <w:pStyle w:val="23"/>
        <w:spacing w:before="0" w:line="276" w:lineRule="auto"/>
      </w:pPr>
    </w:p>
    <w:p w:rsidR="00834492" w:rsidRDefault="00633DA1" w:rsidP="00706717">
      <w:pPr>
        <w:pStyle w:val="21"/>
        <w:spacing w:before="0" w:after="0" w:line="276" w:lineRule="auto"/>
        <w:ind w:left="5400"/>
      </w:pPr>
      <w:r>
        <w:lastRenderedPageBreak/>
        <w:t>УТВЕРЖДЕН</w:t>
      </w:r>
    </w:p>
    <w:p w:rsidR="00834492" w:rsidRDefault="00633DA1" w:rsidP="00706717">
      <w:pPr>
        <w:pStyle w:val="21"/>
        <w:spacing w:before="0" w:after="0" w:line="276" w:lineRule="auto"/>
        <w:ind w:left="5400" w:right="360"/>
      </w:pPr>
      <w:r>
        <w:t>Постановлением Правительства Донецкой Народной Республики от 28 марта 2019 года № 5-16</w:t>
      </w:r>
    </w:p>
    <w:p w:rsidR="005419BB" w:rsidRDefault="005419BB" w:rsidP="00706717">
      <w:pPr>
        <w:pStyle w:val="21"/>
        <w:spacing w:before="0" w:after="0" w:line="276" w:lineRule="auto"/>
        <w:ind w:left="5400" w:right="360"/>
      </w:pPr>
    </w:p>
    <w:p w:rsidR="00834492" w:rsidRDefault="00633DA1" w:rsidP="00706717">
      <w:pPr>
        <w:pStyle w:val="23"/>
        <w:spacing w:before="0" w:line="276" w:lineRule="auto"/>
        <w:jc w:val="center"/>
      </w:pPr>
      <w:r>
        <w:t>Общий порядок и условия применения технических устройств</w:t>
      </w:r>
    </w:p>
    <w:p w:rsidR="00834492" w:rsidRDefault="00633DA1" w:rsidP="00706717">
      <w:pPr>
        <w:pStyle w:val="23"/>
        <w:spacing w:before="0" w:line="276" w:lineRule="auto"/>
        <w:jc w:val="center"/>
      </w:pPr>
      <w:r>
        <w:t>на опасных производственных объектах</w:t>
      </w:r>
    </w:p>
    <w:p w:rsidR="005419BB" w:rsidRDefault="005419BB" w:rsidP="00706717">
      <w:pPr>
        <w:pStyle w:val="23"/>
        <w:spacing w:before="0" w:line="276" w:lineRule="auto"/>
        <w:jc w:val="center"/>
      </w:pP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Общий порядок и условия применения т</w:t>
      </w:r>
      <w:r>
        <w:t>ехнических устройств на опасных производственных объектах (далее - Порядок) устанавливает порядок и условия применения технических устройств, в том числе иностранного производства, на опасных производственных объектах, обязателен для выполнения всеми субъе</w:t>
      </w:r>
      <w:r>
        <w:t>ктами хозяйствован</w:t>
      </w:r>
      <w:r w:rsidR="00E23131">
        <w:t>ия независимо от организационно-</w:t>
      </w:r>
      <w:r>
        <w:t>правовой формы, осуществляющими проектирование, изготовление, монтаж, наладку, обслуживание и ремонт технических устройств или эксплуатацию опасных производственных объектов, а также органами исполнительной</w:t>
      </w:r>
      <w:r>
        <w:t xml:space="preserve"> власти Донецкой Народной Республики, и регулирует отношения, возникающие в этой сфере деятельности.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настоящем Порядке используются термины и определения в значениях, указанных в статье 1 </w:t>
      </w:r>
      <w:hyperlink r:id="rId9" w:history="1">
        <w:r w:rsidRPr="00FF057F">
          <w:rPr>
            <w:rStyle w:val="a3"/>
          </w:rPr>
          <w:t xml:space="preserve">Закона Донецкой Народной Республики от 05 июня 2015 года № </w:t>
        </w:r>
        <w:r w:rsidRPr="00FF057F">
          <w:rPr>
            <w:rStyle w:val="a3"/>
            <w:lang w:eastAsia="en-US" w:bidi="en-US"/>
          </w:rPr>
          <w:t>54-</w:t>
        </w:r>
        <w:r w:rsidRPr="00FF057F">
          <w:rPr>
            <w:rStyle w:val="a3"/>
            <w:lang w:val="en-US" w:eastAsia="en-US" w:bidi="en-US"/>
          </w:rPr>
          <w:t>IHC</w:t>
        </w:r>
        <w:r w:rsidRPr="00FF057F">
          <w:rPr>
            <w:rStyle w:val="a3"/>
            <w:lang w:eastAsia="en-US" w:bidi="en-US"/>
          </w:rPr>
          <w:t xml:space="preserve"> </w:t>
        </w:r>
        <w:r w:rsidRPr="00FF057F">
          <w:rPr>
            <w:rStyle w:val="a3"/>
          </w:rPr>
          <w:t>«О промышленной безопасности опасных производственных объектов»</w:t>
        </w:r>
      </w:hyperlink>
      <w:r>
        <w:t xml:space="preserve"> и статье 1 </w:t>
      </w:r>
      <w:hyperlink r:id="rId10" w:history="1">
        <w:r w:rsidRPr="00E23131">
          <w:rPr>
            <w:rStyle w:val="a3"/>
          </w:rPr>
          <w:t xml:space="preserve">Закона Донецкой Народной Республики от 03 апреля 2015 года № </w:t>
        </w:r>
        <w:r w:rsidRPr="00E23131">
          <w:rPr>
            <w:rStyle w:val="a3"/>
            <w:lang w:eastAsia="en-US" w:bidi="en-US"/>
          </w:rPr>
          <w:t>31-</w:t>
        </w:r>
        <w:r w:rsidRPr="00E23131">
          <w:rPr>
            <w:rStyle w:val="a3"/>
            <w:lang w:val="en-US" w:eastAsia="en-US" w:bidi="en-US"/>
          </w:rPr>
          <w:t>IHC</w:t>
        </w:r>
        <w:r w:rsidRPr="00E23131">
          <w:rPr>
            <w:rStyle w:val="a3"/>
            <w:lang w:eastAsia="en-US" w:bidi="en-US"/>
          </w:rPr>
          <w:t xml:space="preserve"> </w:t>
        </w:r>
        <w:r w:rsidRPr="00E23131">
          <w:rPr>
            <w:rStyle w:val="a3"/>
          </w:rPr>
          <w:t>«Об охране труда»</w:t>
        </w:r>
      </w:hyperlink>
      <w:r>
        <w:t>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Технические устройства, предназначенные для применения на опасных производственных объектах,</w:t>
      </w:r>
      <w:r>
        <w:t xml:space="preserve"> должны соответствовать требованиям промышленной безопасности.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Различные виды (типы) технических устройств до начала их применения на опасных производственных объектах должны пройти приемочные испытания в соответствии с действующим законодательством Донец</w:t>
      </w:r>
      <w:r>
        <w:t>кой Народной Республики.</w:t>
      </w:r>
    </w:p>
    <w:p w:rsidR="00834492" w:rsidRDefault="00633DA1" w:rsidP="00706717">
      <w:pPr>
        <w:pStyle w:val="21"/>
        <w:spacing w:before="0" w:after="0" w:line="276" w:lineRule="auto"/>
        <w:ind w:left="20" w:right="20" w:firstLine="720"/>
      </w:pPr>
      <w:r>
        <w:t>Опытные образцы технических устройств допускаются к приемочным испытаниям на опасных производственных объектах после проведения их экспертизы пром</w:t>
      </w:r>
      <w:r w:rsidRPr="005419BB">
        <w:rPr>
          <w:rStyle w:val="11"/>
          <w:u w:val="none"/>
        </w:rPr>
        <w:t>ышл</w:t>
      </w:r>
      <w:r>
        <w:t>енной безопасности.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Технические устройства, в том числе иностранного производства</w:t>
      </w:r>
      <w:r>
        <w:t>, до начала применения на опасном производственном объекте подлежат обязательной сертификации на соответствие требованиям промышленной безопасности.</w:t>
      </w:r>
    </w:p>
    <w:p w:rsidR="00834492" w:rsidRDefault="00633DA1" w:rsidP="00706717">
      <w:pPr>
        <w:pStyle w:val="21"/>
        <w:spacing w:before="0" w:after="0" w:line="276" w:lineRule="auto"/>
        <w:ind w:right="20" w:firstLine="720"/>
      </w:pPr>
      <w:r>
        <w:t>Перечень технических устройств, предназначенных для применения на опасных производственных объектах и подле</w:t>
      </w:r>
      <w:r>
        <w:t>жащих сертификации, разрабатывается и утверждается в соответствии с законодательством Донецкой Народной Республики.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Средства измерительной техники, входящие в комплект технического устройства, предназначенного для применения на опасном производственном объекте, должны иметь сертификаты об утверждении типа средств измерительной техники.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До начала применения технических</w:t>
      </w:r>
      <w:r>
        <w:t xml:space="preserve"> устройств на опасном </w:t>
      </w:r>
      <w:r>
        <w:lastRenderedPageBreak/>
        <w:t>производственном объекте организация - изготовитель (поставщик) проводит в соответствии с действующим законодательством их приемочные испытания и сертификацию на соответствие требованиям промышленной безопасности для применения в соот</w:t>
      </w:r>
      <w:r>
        <w:t>ветствующих условиях.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При несоответствии технических устройств, в том числе иностранного производства, отдельным требованиям промышленной безопасности, действующим в Донецкой Народной Республике, организация-изготовитель разрабатывает дополнительные мероп</w:t>
      </w:r>
      <w:r>
        <w:t>риятия по приведению технических устройств к установленным требованиям промышленной безопасности.</w:t>
      </w:r>
    </w:p>
    <w:p w:rsidR="00834492" w:rsidRDefault="00633DA1" w:rsidP="00706717">
      <w:pPr>
        <w:pStyle w:val="21"/>
        <w:spacing w:before="0" w:after="0" w:line="276" w:lineRule="auto"/>
        <w:ind w:right="20" w:firstLine="720"/>
      </w:pPr>
      <w:r>
        <w:t>Разработанные мероприятия по приведению технических устройств к установленным требованиям промышленной безопасности подлежат экспертизе промышленной безопасно</w:t>
      </w:r>
      <w:r>
        <w:t>сти.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Организация - изготовитель (поставщик) при поставке технического устройства, обязана предоставить организации, намеренной его эксплуатировать на опасном производственном объекте заверенные копии сертификата соответствия требованиям промышленной безоп</w:t>
      </w:r>
      <w:r>
        <w:t>асности и разрешение Государственного Комитета горного и технического надзора Донецкой Народной Республики на применение конкретного вида (типа) технического устройства на опасном производственном объекте, выданного в установленном законодательством порядк</w:t>
      </w:r>
      <w:r>
        <w:t>е.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В исключительных случаях, при отсутствии разрешения на применение конкретного вида (типа) технического устройства, поставленного организацией - изготовителем (поставщиком), эксплуатирующая организация, намеренная его эксплуатировать на опасном производ</w:t>
      </w:r>
      <w:r>
        <w:t>ственном объекте, до начала эксплуатации такого технического устройства обязана получить</w:t>
      </w:r>
      <w:r w:rsidR="005419BB">
        <w:t xml:space="preserve"> соответствующее разрешение в Г</w:t>
      </w:r>
      <w:r>
        <w:t xml:space="preserve">осударственном Комитете горного и технического надзора Донецкой Народной Республики в соответствии с </w:t>
      </w:r>
      <w:hyperlink r:id="rId11" w:history="1">
        <w:r w:rsidRPr="00EC4D17">
          <w:rPr>
            <w:rStyle w:val="a3"/>
          </w:rPr>
          <w:t>Порядком получения разрешений на пр</w:t>
        </w:r>
        <w:r w:rsidRPr="00EC4D17">
          <w:rPr>
            <w:rStyle w:val="a3"/>
          </w:rPr>
          <w:t xml:space="preserve">именение и эксплуатацию машин, механизмов, оборудования повышенной опасности или отказа в их выдаче, их переоформления, выдачи их дубликатов, их аннулирования, утвержденным Постановлением Совета Министров Донецкой Народной Республики от 10 марта 2017 г. № </w:t>
        </w:r>
        <w:r w:rsidRPr="00EC4D17">
          <w:rPr>
            <w:rStyle w:val="a3"/>
          </w:rPr>
          <w:t>3-56</w:t>
        </w:r>
      </w:hyperlink>
      <w:r>
        <w:t>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Технические устройства, предназначенные для применения на опасных производственных объектах, в течение всего срока их использования подлежат техническому обслуживанию организациями, имеющими соответствующие разрешения на выполнение работ повышенной </w:t>
      </w:r>
      <w:r>
        <w:t>опасности.</w:t>
      </w:r>
    </w:p>
    <w:p w:rsidR="00834492" w:rsidRDefault="00633DA1" w:rsidP="00706717">
      <w:pPr>
        <w:pStyle w:val="21"/>
        <w:spacing w:before="0" w:after="0" w:line="276" w:lineRule="auto"/>
        <w:ind w:left="20" w:right="20" w:firstLine="720"/>
      </w:pPr>
      <w:r>
        <w:t>Монтаж, наладка, ремонт, техническое обслуживание, реконструкция, технический осмотр, испытание, экспертное обследование, техническое диагностирование технических устройств, экспертиза промышленной безопасности технических устройств, предназначе</w:t>
      </w:r>
      <w:r>
        <w:t>нных для применения на опасном производственном объекте, производятся организациями, имеющими соответствующие разрешения на выполнение указанных работ повышенной опасности, выданные в соответствии с действующим законодательством Донецкой Народной Республик</w:t>
      </w:r>
      <w:r>
        <w:t>и.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lastRenderedPageBreak/>
        <w:t xml:space="preserve"> Объем и сроки проведения профилактических работ для поддержания технического устройства в исправном состоянии определяются в технической документации на данное устройство.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Организацию и контроль за проведением работ по техническому обслуживанию устрой</w:t>
      </w:r>
      <w:r>
        <w:t>ств осуществляет организация, эксплуатирующая опасный производственный объект.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В технической документации на техническое устройство, в том числе иностранного производства, предназначенное для применения на опасном производственном объекте, организация-изг</w:t>
      </w:r>
      <w:r>
        <w:t>отовитель указывает: условия и требования безопасной эксплуатации, методику проведения контрольных испытаний (проверок) этого устройства и его основных узлов, порядок технического обслуживания, ремонта и диагностирования, срок эксплуатации технического уст</w:t>
      </w:r>
      <w:r>
        <w:t>ройства.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К эксплуатации и обслуживанию технических устройств, предназначенных для применения на опасных производственных объектах, допускаются лица, прошедшие соответствующее обучение и имеющие документы установленного образца.</w:t>
      </w:r>
    </w:p>
    <w:p w:rsidR="00834492" w:rsidRDefault="00633DA1" w:rsidP="00706717">
      <w:pPr>
        <w:pStyle w:val="21"/>
        <w:numPr>
          <w:ilvl w:val="0"/>
          <w:numId w:val="2"/>
        </w:numPr>
        <w:spacing w:before="0" w:after="0" w:line="276" w:lineRule="auto"/>
        <w:ind w:left="20" w:right="20" w:firstLine="720"/>
      </w:pPr>
      <w:r>
        <w:t xml:space="preserve"> Организация, которая намер</w:t>
      </w:r>
      <w:r>
        <w:t>ена эксплуатировать или эксплуатирует технические устройства, применяемые на опасном производственном объекте, должна иметь соответствующие разрешительные документы, предусмотренные действующим законодательством.</w:t>
      </w:r>
    </w:p>
    <w:p w:rsidR="00706717" w:rsidRDefault="00706717" w:rsidP="00F45480">
      <w:pPr>
        <w:pStyle w:val="21"/>
        <w:spacing w:before="0" w:after="0" w:line="276" w:lineRule="auto"/>
        <w:ind w:left="20" w:right="20"/>
      </w:pPr>
    </w:p>
    <w:sectPr w:rsidR="00706717" w:rsidSect="00834492">
      <w:type w:val="continuous"/>
      <w:pgSz w:w="11906" w:h="16838"/>
      <w:pgMar w:top="1405" w:right="1123" w:bottom="983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DA1" w:rsidRDefault="00633DA1" w:rsidP="00834492">
      <w:r>
        <w:separator/>
      </w:r>
    </w:p>
  </w:endnote>
  <w:endnote w:type="continuationSeparator" w:id="1">
    <w:p w:rsidR="00633DA1" w:rsidRDefault="00633DA1" w:rsidP="00834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DA1" w:rsidRDefault="00633DA1"/>
  </w:footnote>
  <w:footnote w:type="continuationSeparator" w:id="1">
    <w:p w:rsidR="00633DA1" w:rsidRDefault="00633DA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672B9"/>
    <w:multiLevelType w:val="multilevel"/>
    <w:tmpl w:val="E11C7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F26AF7"/>
    <w:multiLevelType w:val="multilevel"/>
    <w:tmpl w:val="EDE02F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34492"/>
    <w:rsid w:val="0017393D"/>
    <w:rsid w:val="001A520D"/>
    <w:rsid w:val="005419BB"/>
    <w:rsid w:val="00633DA1"/>
    <w:rsid w:val="00706717"/>
    <w:rsid w:val="00834492"/>
    <w:rsid w:val="00E23131"/>
    <w:rsid w:val="00EC4D17"/>
    <w:rsid w:val="00F45480"/>
    <w:rsid w:val="00FF0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44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4492"/>
    <w:rPr>
      <w:color w:val="0066CC"/>
      <w:u w:val="single"/>
    </w:rPr>
  </w:style>
  <w:style w:type="character" w:customStyle="1" w:styleId="2Exact">
    <w:name w:val="Основной текст (2) Exact"/>
    <w:basedOn w:val="a0"/>
    <w:rsid w:val="00834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834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834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sid w:val="00834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8344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_"/>
    <w:basedOn w:val="a0"/>
    <w:link w:val="23"/>
    <w:rsid w:val="008344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834492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834492"/>
    <w:pPr>
      <w:spacing w:before="7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834492"/>
    <w:pPr>
      <w:spacing w:after="300" w:line="52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834492"/>
    <w:pPr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0">
    <w:name w:val="Заголовок №3"/>
    <w:basedOn w:val="a"/>
    <w:link w:val="3"/>
    <w:rsid w:val="00834492"/>
    <w:pPr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834492"/>
    <w:pPr>
      <w:spacing w:before="60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1A52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20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4-ihc-o-promyshlennoj-bezopasnosti-opasnyh-proizvodstvennyh-obektov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3-56-ot-10-03-2017-g-ob-utverzhdenii-poryadka-polucheniya-razreshenij-na-primenenie-i-ekspluatatsiyu-mashin-mehanizmov-oborudovaniya-povyshennoj-opasnosti-ili-otkaz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31-ins-ob-ohrane-tru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54-ihc-o-promyshlennoj-bezopasnosti-opasnyh-proizvodstvennyh-obekt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2019-04-08T14:56:00Z</dcterms:created>
  <dcterms:modified xsi:type="dcterms:W3CDTF">2019-04-08T15:13:00Z</dcterms:modified>
</cp:coreProperties>
</file>