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A70" w:rsidRDefault="00F31A70" w:rsidP="00D80F13">
      <w:pPr>
        <w:pStyle w:val="10"/>
        <w:keepNext/>
        <w:keepLines/>
        <w:spacing w:before="0" w:after="0" w:line="276" w:lineRule="auto"/>
        <w:ind w:righ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933450" cy="777875"/>
            <wp:effectExtent l="19050" t="0" r="0" b="0"/>
            <wp:docPr id="1" name="Рисунок 1" descr="C:\Users\User\Desktop\доки\постановления совета министров\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7D7" w:rsidRDefault="001031BF" w:rsidP="00D80F13">
      <w:pPr>
        <w:pStyle w:val="10"/>
        <w:keepNext/>
        <w:keepLines/>
        <w:spacing w:before="0" w:after="0" w:line="276" w:lineRule="auto"/>
        <w:ind w:right="20"/>
      </w:pPr>
      <w:r>
        <w:t>ПРАВИТЕЛЬСТВО</w:t>
      </w:r>
      <w:bookmarkEnd w:id="0"/>
    </w:p>
    <w:p w:rsidR="00D467D7" w:rsidRDefault="001031BF" w:rsidP="00D80F13">
      <w:pPr>
        <w:pStyle w:val="10"/>
        <w:keepNext/>
        <w:keepLines/>
        <w:spacing w:before="0" w:after="0" w:line="276" w:lineRule="auto"/>
        <w:ind w:right="20"/>
      </w:pPr>
      <w:bookmarkStart w:id="1" w:name="bookmark1"/>
      <w:r>
        <w:t>ДОНЕЦКОЙ НАРОДНОЙ РЕСПУБЛИКИ</w:t>
      </w:r>
      <w:bookmarkEnd w:id="1"/>
    </w:p>
    <w:p w:rsidR="00D80F13" w:rsidRDefault="00D80F13" w:rsidP="00D80F13">
      <w:pPr>
        <w:pStyle w:val="10"/>
        <w:keepNext/>
        <w:keepLines/>
        <w:spacing w:before="0" w:after="0" w:line="276" w:lineRule="auto"/>
        <w:ind w:right="20"/>
      </w:pPr>
    </w:p>
    <w:p w:rsidR="00D467D7" w:rsidRDefault="001031BF" w:rsidP="00D80F13">
      <w:pPr>
        <w:pStyle w:val="10"/>
        <w:keepNext/>
        <w:keepLines/>
        <w:spacing w:before="0" w:after="0" w:line="276" w:lineRule="auto"/>
        <w:ind w:right="20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ПОСТАНОВЛЕНИЕ</w:t>
      </w:r>
      <w:bookmarkEnd w:id="2"/>
    </w:p>
    <w:p w:rsidR="00D80F13" w:rsidRDefault="00D80F13" w:rsidP="00D80F13">
      <w:pPr>
        <w:pStyle w:val="10"/>
        <w:keepNext/>
        <w:keepLines/>
        <w:spacing w:before="0" w:after="0" w:line="276" w:lineRule="auto"/>
        <w:ind w:right="20"/>
      </w:pPr>
    </w:p>
    <w:p w:rsidR="00D80F13" w:rsidRDefault="001031BF" w:rsidP="00D80F13">
      <w:pPr>
        <w:pStyle w:val="20"/>
        <w:keepNext/>
        <w:keepLines/>
        <w:spacing w:before="0" w:after="0" w:line="276" w:lineRule="auto"/>
        <w:ind w:right="20"/>
        <w:rPr>
          <w:rStyle w:val="213pt"/>
          <w:b/>
          <w:bCs/>
        </w:rPr>
      </w:pPr>
      <w:bookmarkStart w:id="3" w:name="bookmark3"/>
      <w:r>
        <w:rPr>
          <w:rStyle w:val="213pt"/>
          <w:b/>
          <w:bCs/>
        </w:rPr>
        <w:t xml:space="preserve">от 28 марта 2019 г. № 5-4 </w:t>
      </w:r>
    </w:p>
    <w:p w:rsidR="00D80F13" w:rsidRDefault="00D80F13" w:rsidP="00D80F13">
      <w:pPr>
        <w:pStyle w:val="20"/>
        <w:keepNext/>
        <w:keepLines/>
        <w:spacing w:before="0" w:after="0" w:line="276" w:lineRule="auto"/>
        <w:ind w:right="20"/>
        <w:rPr>
          <w:rStyle w:val="213pt"/>
          <w:b/>
          <w:bCs/>
        </w:rPr>
      </w:pPr>
    </w:p>
    <w:p w:rsidR="00D80F13" w:rsidRDefault="00D80F13" w:rsidP="00D80F13">
      <w:pPr>
        <w:pStyle w:val="20"/>
        <w:keepNext/>
        <w:keepLines/>
        <w:spacing w:before="0" w:after="0" w:line="276" w:lineRule="auto"/>
        <w:ind w:right="20"/>
        <w:rPr>
          <w:rStyle w:val="213pt"/>
          <w:b/>
          <w:bCs/>
        </w:rPr>
      </w:pPr>
    </w:p>
    <w:p w:rsidR="00D467D7" w:rsidRDefault="001031BF" w:rsidP="00D80F13">
      <w:pPr>
        <w:pStyle w:val="20"/>
        <w:keepNext/>
        <w:keepLines/>
        <w:spacing w:before="0" w:after="0" w:line="276" w:lineRule="auto"/>
        <w:ind w:right="20"/>
      </w:pPr>
      <w:r>
        <w:rPr>
          <w:rStyle w:val="213pt"/>
          <w:b/>
          <w:bCs/>
        </w:rPr>
        <w:t>О внесении изменений в Порядок технического обслуживания</w:t>
      </w:r>
      <w:bookmarkEnd w:id="3"/>
    </w:p>
    <w:p w:rsidR="00D467D7" w:rsidRDefault="001031BF" w:rsidP="00D80F13">
      <w:pPr>
        <w:pStyle w:val="22"/>
        <w:spacing w:before="0" w:after="0" w:line="276" w:lineRule="auto"/>
        <w:ind w:right="20"/>
      </w:pPr>
      <w:r>
        <w:t>и ремонта регистраторов расчетных операций, утвержденный</w:t>
      </w:r>
    </w:p>
    <w:p w:rsidR="00D467D7" w:rsidRDefault="001031BF" w:rsidP="00D80F13">
      <w:pPr>
        <w:pStyle w:val="20"/>
        <w:keepNext/>
        <w:keepLines/>
        <w:spacing w:before="0" w:after="0" w:line="276" w:lineRule="auto"/>
        <w:ind w:right="20"/>
        <w:rPr>
          <w:rStyle w:val="213pt"/>
          <w:b/>
          <w:bCs/>
        </w:rPr>
      </w:pPr>
      <w:bookmarkStart w:id="4" w:name="bookmark4"/>
      <w:r>
        <w:rPr>
          <w:rStyle w:val="213pt"/>
          <w:b/>
          <w:bCs/>
        </w:rPr>
        <w:t>Постановлением Президиума Совета Министров Донецкой Народной Республики от 07 декабря 2017 года № 16-10</w:t>
      </w:r>
      <w:bookmarkEnd w:id="4"/>
    </w:p>
    <w:p w:rsidR="00D80F13" w:rsidRDefault="00D80F13" w:rsidP="00D80F13">
      <w:pPr>
        <w:pStyle w:val="20"/>
        <w:keepNext/>
        <w:keepLines/>
        <w:spacing w:before="0" w:after="0" w:line="276" w:lineRule="auto"/>
        <w:ind w:right="20"/>
      </w:pPr>
    </w:p>
    <w:p w:rsidR="00D80F13" w:rsidRDefault="00D80F13" w:rsidP="00D80F13">
      <w:pPr>
        <w:pStyle w:val="20"/>
        <w:keepNext/>
        <w:keepLines/>
        <w:spacing w:before="0" w:after="0" w:line="276" w:lineRule="auto"/>
        <w:ind w:right="20"/>
      </w:pPr>
    </w:p>
    <w:p w:rsidR="00D467D7" w:rsidRDefault="001031BF" w:rsidP="00D80F13">
      <w:pPr>
        <w:pStyle w:val="11"/>
        <w:spacing w:before="0" w:after="0" w:line="276" w:lineRule="auto"/>
        <w:ind w:left="20" w:right="20" w:firstLine="720"/>
      </w:pPr>
      <w:r>
        <w:t xml:space="preserve">В целях реализации государственной политики в сфере технического обслуживания и ремонта регистраторов расчетных операций, руководствуясь частью 2 статьи 10 </w:t>
      </w:r>
      <w:hyperlink r:id="rId8" w:history="1">
        <w:r w:rsidRPr="00AE05E4">
          <w:rPr>
            <w:rStyle w:val="a3"/>
          </w:rPr>
          <w:t xml:space="preserve">Закона Донецкой Народной Республики от 06.05.2017 года </w:t>
        </w:r>
        <w:r w:rsidRPr="00AE05E4">
          <w:rPr>
            <w:rStyle w:val="a3"/>
            <w:lang w:eastAsia="en-US" w:bidi="en-US"/>
          </w:rPr>
          <w:t>№177-</w:t>
        </w:r>
        <w:r w:rsidRPr="00AE05E4">
          <w:rPr>
            <w:rStyle w:val="a3"/>
            <w:lang w:val="en-US" w:eastAsia="en-US" w:bidi="en-US"/>
          </w:rPr>
          <w:t>IHC</w:t>
        </w:r>
        <w:r w:rsidRPr="00AE05E4">
          <w:rPr>
            <w:rStyle w:val="a3"/>
            <w:lang w:eastAsia="en-US" w:bidi="en-US"/>
          </w:rPr>
          <w:t xml:space="preserve"> </w:t>
        </w:r>
        <w:r w:rsidRPr="00AE05E4">
          <w:rPr>
            <w:rStyle w:val="a3"/>
          </w:rPr>
          <w:t>«О регистрации расчетных операций при осуществлении наличных и (или) безналичных расчетов»</w:t>
        </w:r>
      </w:hyperlink>
      <w:r>
        <w:t>, Правительство Донецкой Народной Республики</w:t>
      </w:r>
    </w:p>
    <w:p w:rsidR="00D80F13" w:rsidRDefault="00D80F13" w:rsidP="00D80F13">
      <w:pPr>
        <w:pStyle w:val="11"/>
        <w:spacing w:before="0" w:after="0" w:line="276" w:lineRule="auto"/>
        <w:ind w:left="20" w:right="20" w:firstLine="720"/>
      </w:pPr>
    </w:p>
    <w:p w:rsidR="00D467D7" w:rsidRDefault="001031BF" w:rsidP="00D80F13">
      <w:pPr>
        <w:pStyle w:val="20"/>
        <w:keepNext/>
        <w:keepLines/>
        <w:spacing w:before="0" w:after="0" w:line="276" w:lineRule="auto"/>
        <w:ind w:left="20"/>
        <w:jc w:val="both"/>
        <w:rPr>
          <w:rStyle w:val="213pt"/>
          <w:b/>
          <w:bCs/>
        </w:rPr>
      </w:pPr>
      <w:bookmarkStart w:id="5" w:name="bookmark5"/>
      <w:r>
        <w:rPr>
          <w:rStyle w:val="213pt"/>
          <w:b/>
          <w:bCs/>
        </w:rPr>
        <w:t>ПОСТАНОВЛЯЕТ:</w:t>
      </w:r>
      <w:bookmarkEnd w:id="5"/>
    </w:p>
    <w:p w:rsidR="00D80F13" w:rsidRDefault="00D80F13" w:rsidP="00D80F13">
      <w:pPr>
        <w:pStyle w:val="20"/>
        <w:keepNext/>
        <w:keepLines/>
        <w:spacing w:before="0" w:after="0" w:line="276" w:lineRule="auto"/>
        <w:ind w:left="20"/>
        <w:jc w:val="both"/>
      </w:pPr>
    </w:p>
    <w:p w:rsidR="00D467D7" w:rsidRDefault="001031BF" w:rsidP="00D80F13">
      <w:pPr>
        <w:pStyle w:val="11"/>
        <w:numPr>
          <w:ilvl w:val="0"/>
          <w:numId w:val="1"/>
        </w:numPr>
        <w:tabs>
          <w:tab w:val="left" w:pos="1113"/>
        </w:tabs>
        <w:spacing w:before="120" w:after="120" w:line="276" w:lineRule="auto"/>
        <w:ind w:left="20" w:right="20" w:firstLine="720"/>
      </w:pPr>
      <w:r>
        <w:t xml:space="preserve">Внести в </w:t>
      </w:r>
      <w:hyperlink r:id="rId9" w:history="1">
        <w:r w:rsidRPr="00DD6E24">
          <w:rPr>
            <w:rStyle w:val="a3"/>
          </w:rPr>
          <w:t>Порядок технического обслуживания и ремонта регистраторов расчетных операций, утвержденный Постановлением Президиума Совета Министров Донецкой Народной Республики от 07 декабря 2017 года № 16-10</w:t>
        </w:r>
      </w:hyperlink>
      <w:r>
        <w:t xml:space="preserve"> (далее - Порядок), следующие изменения:</w:t>
      </w:r>
    </w:p>
    <w:p w:rsidR="00D467D7" w:rsidRDefault="001031BF" w:rsidP="00D80F13">
      <w:pPr>
        <w:pStyle w:val="11"/>
        <w:numPr>
          <w:ilvl w:val="1"/>
          <w:numId w:val="1"/>
        </w:numPr>
        <w:spacing w:before="120" w:after="120" w:line="276" w:lineRule="auto"/>
        <w:ind w:right="20"/>
        <w:jc w:val="center"/>
      </w:pPr>
      <w:r>
        <w:t xml:space="preserve"> Пункт 1.5. раздела I </w:t>
      </w:r>
      <w:hyperlink r:id="rId10" w:history="1">
        <w:r w:rsidRPr="00DD6E24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D467D7" w:rsidRDefault="001031BF" w:rsidP="00D80F13">
      <w:pPr>
        <w:pStyle w:val="11"/>
        <w:spacing w:before="120" w:after="120" w:line="276" w:lineRule="auto"/>
        <w:ind w:left="20" w:firstLine="720"/>
      </w:pPr>
      <w:r>
        <w:t>«1.5. Введение регистраторов в эксплуатацию, их техническое</w:t>
      </w:r>
    </w:p>
    <w:p w:rsidR="00D467D7" w:rsidRDefault="001031BF" w:rsidP="00D80F13">
      <w:pPr>
        <w:pStyle w:val="11"/>
        <w:spacing w:before="120" w:after="120" w:line="276" w:lineRule="auto"/>
        <w:ind w:left="20" w:right="20"/>
      </w:pPr>
      <w:r>
        <w:t>обслуживание и ремонт осуществляется центрами сервисного обслуживания (далее - ЦСО), которые прошли аккредитацию в Донецкой Народной Республике, при наличии заключенных с пользователями договоров о техническом обслуживании и ремонте РРО и выданных ЦСО справок о возможности работы РРО.».</w:t>
      </w:r>
    </w:p>
    <w:p w:rsidR="00D467D7" w:rsidRDefault="001031BF" w:rsidP="00D80F13">
      <w:pPr>
        <w:pStyle w:val="11"/>
        <w:numPr>
          <w:ilvl w:val="1"/>
          <w:numId w:val="1"/>
        </w:numPr>
        <w:spacing w:before="120" w:after="120" w:line="276" w:lineRule="auto"/>
        <w:ind w:left="20" w:firstLine="720"/>
      </w:pPr>
      <w:r>
        <w:t xml:space="preserve"> Пункт 2.2. раздела II </w:t>
      </w:r>
      <w:hyperlink r:id="rId11" w:history="1">
        <w:r w:rsidRPr="00DD6E24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D467D7" w:rsidRDefault="001031BF" w:rsidP="00D80F13">
      <w:pPr>
        <w:pStyle w:val="11"/>
        <w:spacing w:before="120" w:after="120" w:line="276" w:lineRule="auto"/>
        <w:ind w:left="20" w:firstLine="720"/>
      </w:pPr>
      <w:r>
        <w:t>«2.2. Сохранение фискального номера в память регистратора,</w:t>
      </w:r>
    </w:p>
    <w:p w:rsidR="00D467D7" w:rsidRDefault="001031BF" w:rsidP="00D80F13">
      <w:pPr>
        <w:pStyle w:val="11"/>
        <w:spacing w:before="120" w:after="120" w:line="276" w:lineRule="auto"/>
        <w:ind w:right="20"/>
        <w:jc w:val="left"/>
      </w:pPr>
      <w:r>
        <w:lastRenderedPageBreak/>
        <w:t>обеспечение передачи данных с регистратора и перевод регистратора в фискал</w:t>
      </w:r>
      <w:r w:rsidR="00D80F13">
        <w:t xml:space="preserve">ьный </w:t>
      </w:r>
      <w:r>
        <w:t>режим работы осуществляется в порядке, определенном</w:t>
      </w:r>
      <w:r w:rsidR="00D80F13">
        <w:t xml:space="preserve"> </w:t>
      </w:r>
      <w:r>
        <w:t>Республиканским органом исполнительной власти, реализующим государственную политику в сфере налогообложения и таможенного д</w:t>
      </w:r>
      <w:r w:rsidR="00D80F13">
        <w:t xml:space="preserve">ела, и с соблюдением требований </w:t>
      </w:r>
      <w:r>
        <w:t>эксплуатационных документов.».</w:t>
      </w:r>
    </w:p>
    <w:p w:rsidR="00D467D7" w:rsidRDefault="001031BF" w:rsidP="00D80F13">
      <w:pPr>
        <w:pStyle w:val="11"/>
        <w:numPr>
          <w:ilvl w:val="1"/>
          <w:numId w:val="2"/>
        </w:numPr>
        <w:tabs>
          <w:tab w:val="left" w:pos="1277"/>
        </w:tabs>
        <w:spacing w:before="120" w:after="120" w:line="276" w:lineRule="auto"/>
        <w:ind w:firstLine="720"/>
      </w:pPr>
      <w:r>
        <w:t xml:space="preserve">Дополнить раздел III </w:t>
      </w:r>
      <w:hyperlink r:id="rId12" w:history="1">
        <w:r w:rsidRPr="00DD6E24">
          <w:rPr>
            <w:rStyle w:val="a3"/>
          </w:rPr>
          <w:t>Порядка</w:t>
        </w:r>
      </w:hyperlink>
      <w:r>
        <w:t xml:space="preserve"> пунктом 3.4 следующего содержания:</w:t>
      </w:r>
    </w:p>
    <w:p w:rsidR="00D467D7" w:rsidRDefault="001031BF" w:rsidP="00D80F13">
      <w:pPr>
        <w:pStyle w:val="11"/>
        <w:spacing w:before="120" w:after="120" w:line="276" w:lineRule="auto"/>
        <w:ind w:right="20" w:firstLine="720"/>
      </w:pPr>
      <w:r>
        <w:t>«3.4. ЦСО должен осуществлять контроль за передачей фискальных данных с электронной ленты РРО, находящихся на сервисном обслуживании в таком ЦСО.».</w:t>
      </w:r>
    </w:p>
    <w:p w:rsidR="00D467D7" w:rsidRDefault="001031BF" w:rsidP="00D80F13">
      <w:pPr>
        <w:pStyle w:val="11"/>
        <w:numPr>
          <w:ilvl w:val="0"/>
          <w:numId w:val="2"/>
        </w:numPr>
        <w:tabs>
          <w:tab w:val="left" w:pos="1193"/>
        </w:tabs>
        <w:spacing w:before="120" w:after="120" w:line="276" w:lineRule="auto"/>
        <w:ind w:right="20" w:firstLine="720"/>
      </w:pPr>
      <w:r>
        <w:t>Настоящее Постановление вступает в силу со дня официального опубликования.</w:t>
      </w:r>
    </w:p>
    <w:p w:rsidR="00D80F13" w:rsidRDefault="00D80F13" w:rsidP="00D80F13">
      <w:pPr>
        <w:pStyle w:val="11"/>
        <w:tabs>
          <w:tab w:val="left" w:pos="1193"/>
        </w:tabs>
        <w:spacing w:before="0" w:after="0" w:line="276" w:lineRule="auto"/>
        <w:ind w:right="20"/>
      </w:pPr>
    </w:p>
    <w:p w:rsidR="00D80F13" w:rsidRDefault="00D80F13" w:rsidP="00D80F13">
      <w:pPr>
        <w:pStyle w:val="11"/>
        <w:tabs>
          <w:tab w:val="left" w:pos="1193"/>
        </w:tabs>
        <w:spacing w:before="0" w:after="0" w:line="276" w:lineRule="auto"/>
        <w:ind w:right="20"/>
      </w:pPr>
    </w:p>
    <w:p w:rsidR="00D80F13" w:rsidRDefault="001031BF" w:rsidP="00D80F13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D80F13">
        <w:t xml:space="preserve">                                                                 </w:t>
      </w:r>
      <w:r w:rsidR="00D80F13">
        <w:rPr>
          <w:rStyle w:val="2Exact"/>
          <w:b/>
          <w:bCs/>
          <w:spacing w:val="0"/>
        </w:rPr>
        <w:t>А. Е. Ананченко</w:t>
      </w:r>
    </w:p>
    <w:p w:rsidR="00D467D7" w:rsidRDefault="00D467D7" w:rsidP="00D80F13">
      <w:pPr>
        <w:pStyle w:val="22"/>
        <w:spacing w:before="0" w:after="0" w:line="276" w:lineRule="auto"/>
        <w:jc w:val="both"/>
      </w:pPr>
    </w:p>
    <w:sectPr w:rsidR="00D467D7" w:rsidSect="00F31A70">
      <w:type w:val="continuous"/>
      <w:pgSz w:w="11906" w:h="16838"/>
      <w:pgMar w:top="1135" w:right="849" w:bottom="851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508" w:rsidRDefault="00125508" w:rsidP="00D467D7">
      <w:r>
        <w:separator/>
      </w:r>
    </w:p>
  </w:endnote>
  <w:endnote w:type="continuationSeparator" w:id="1">
    <w:p w:rsidR="00125508" w:rsidRDefault="00125508" w:rsidP="00D46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508" w:rsidRDefault="00125508"/>
  </w:footnote>
  <w:footnote w:type="continuationSeparator" w:id="1">
    <w:p w:rsidR="00125508" w:rsidRDefault="0012550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75F2C"/>
    <w:multiLevelType w:val="multilevel"/>
    <w:tmpl w:val="CBEA5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84DF4"/>
    <w:multiLevelType w:val="multilevel"/>
    <w:tmpl w:val="A6661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467D7"/>
    <w:rsid w:val="001031BF"/>
    <w:rsid w:val="00125508"/>
    <w:rsid w:val="001B2450"/>
    <w:rsid w:val="00982411"/>
    <w:rsid w:val="00AE05E4"/>
    <w:rsid w:val="00D467D7"/>
    <w:rsid w:val="00D80F13"/>
    <w:rsid w:val="00DD6E24"/>
    <w:rsid w:val="00F31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67D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467D7"/>
    <w:rPr>
      <w:color w:val="0066CC"/>
      <w:u w:val="single"/>
    </w:rPr>
  </w:style>
  <w:style w:type="character" w:customStyle="1" w:styleId="2Exact">
    <w:name w:val="Основной текст (2) Exact"/>
    <w:basedOn w:val="a0"/>
    <w:rsid w:val="00D467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sid w:val="00D467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D467D7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Заголовок №2_"/>
    <w:basedOn w:val="a0"/>
    <w:link w:val="20"/>
    <w:rsid w:val="00D467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3pt">
    <w:name w:val="Заголовок №2 + 13 pt"/>
    <w:basedOn w:val="2"/>
    <w:rsid w:val="00D467D7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D467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D467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D467D7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D467D7"/>
    <w:pPr>
      <w:spacing w:before="240"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D467D7"/>
    <w:pPr>
      <w:spacing w:before="3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D467D7"/>
    <w:pPr>
      <w:spacing w:before="36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31A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1A7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registratsii-raschetnyh-operatsij-pri-osushhestvlenii-nalichnyh-i-ili-beznalichnyh-raschetov-prinyat-postanovleniem-narodnogo-soveta-06-05-2017g-razmeshhen-22-05-2017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nr-online.ru/download/postanovlenie-soveta-ministrov-dnr-16-10-ot-07-12-2017-g-ob-utverzhdenii-poryadka-tehnicheskogo-obsluzhivaniya-i-remonta-registratorov-raschetnyh-operatsij-opublikovano-22-12-2017g-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16-10-ot-07-12-2017-g-ob-utverzhdenii-poryadka-tehnicheskogo-obsluzhivaniya-i-remonta-registratorov-raschetnyh-operatsij-opublikovano-22-12-2017g-2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6-10-ot-07-12-2017-g-ob-utverzhdenii-poryadka-tehnicheskogo-obsluzhivaniya-i-remonta-registratorov-raschetnyh-operatsij-opublikovano-22-12-2017g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6-10-ot-07-12-2017-g-ob-utverzhdenii-poryadka-tehnicheskogo-obsluzhivaniya-i-remonta-registratorov-raschetnyh-operatsij-opublikovano-22-12-2017g-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2019-04-03T14:21:00Z</dcterms:created>
  <dcterms:modified xsi:type="dcterms:W3CDTF">2019-04-04T08:25:00Z</dcterms:modified>
</cp:coreProperties>
</file>