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0E" w:rsidRDefault="00E04D0E" w:rsidP="00E41D98">
      <w:pPr>
        <w:pStyle w:val="10"/>
        <w:keepNext/>
        <w:keepLines/>
        <w:spacing w:after="0" w:line="276" w:lineRule="auto"/>
        <w:ind w:lef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B9B" w:rsidRDefault="00E66ED3" w:rsidP="00E41D98">
      <w:pPr>
        <w:pStyle w:val="10"/>
        <w:keepNext/>
        <w:keepLines/>
        <w:spacing w:after="0" w:line="276" w:lineRule="auto"/>
        <w:ind w:lef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45B9B" w:rsidRDefault="00E66ED3" w:rsidP="00E41D98">
      <w:pPr>
        <w:pStyle w:val="10"/>
        <w:keepNext/>
        <w:keepLines/>
        <w:spacing w:after="0" w:line="276" w:lineRule="auto"/>
        <w:ind w:left="8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E41D98" w:rsidRDefault="00E41D98" w:rsidP="00E41D98">
      <w:pPr>
        <w:pStyle w:val="10"/>
        <w:keepNext/>
        <w:keepLines/>
        <w:spacing w:after="0" w:line="276" w:lineRule="auto"/>
        <w:ind w:left="80"/>
      </w:pPr>
    </w:p>
    <w:p w:rsidR="00E45B9B" w:rsidRDefault="00E66ED3" w:rsidP="00E41D98">
      <w:pPr>
        <w:pStyle w:val="20"/>
        <w:spacing w:before="0" w:after="0" w:line="276" w:lineRule="auto"/>
        <w:ind w:left="8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E41D98" w:rsidRDefault="00E41D98" w:rsidP="00E41D98">
      <w:pPr>
        <w:pStyle w:val="20"/>
        <w:spacing w:before="0" w:after="0" w:line="276" w:lineRule="auto"/>
        <w:ind w:left="80"/>
      </w:pPr>
    </w:p>
    <w:p w:rsidR="00E45B9B" w:rsidRDefault="00E66ED3" w:rsidP="00E41D98">
      <w:pPr>
        <w:pStyle w:val="20"/>
        <w:spacing w:before="0" w:after="0" w:line="276" w:lineRule="auto"/>
        <w:ind w:left="80"/>
        <w:rPr>
          <w:rStyle w:val="21"/>
          <w:b/>
          <w:bCs/>
        </w:rPr>
      </w:pPr>
      <w:r>
        <w:rPr>
          <w:rStyle w:val="21"/>
          <w:b/>
          <w:bCs/>
        </w:rPr>
        <w:t>от 15 июня 2017 г. № 7-6</w:t>
      </w:r>
    </w:p>
    <w:p w:rsidR="00E41D98" w:rsidRDefault="00E41D98" w:rsidP="00E41D98">
      <w:pPr>
        <w:pStyle w:val="20"/>
        <w:spacing w:before="0" w:after="0" w:line="276" w:lineRule="auto"/>
        <w:ind w:left="80"/>
        <w:rPr>
          <w:rStyle w:val="21"/>
          <w:b/>
          <w:bCs/>
        </w:rPr>
      </w:pPr>
    </w:p>
    <w:p w:rsidR="00E41D98" w:rsidRDefault="00E41D98" w:rsidP="00E41D98">
      <w:pPr>
        <w:pStyle w:val="20"/>
        <w:spacing w:before="0" w:after="0" w:line="276" w:lineRule="auto"/>
        <w:ind w:left="80"/>
      </w:pPr>
    </w:p>
    <w:p w:rsidR="00E45B9B" w:rsidRDefault="00E66ED3" w:rsidP="00E41D98">
      <w:pPr>
        <w:pStyle w:val="20"/>
        <w:spacing w:before="0" w:after="0" w:line="276" w:lineRule="auto"/>
        <w:ind w:left="80"/>
      </w:pPr>
      <w:r>
        <w:rPr>
          <w:rStyle w:val="21"/>
          <w:b/>
          <w:bCs/>
        </w:rPr>
        <w:t>Об утверждении Перечня видов деятельности и объектов</w:t>
      </w:r>
    </w:p>
    <w:p w:rsidR="00E45B9B" w:rsidRDefault="00E66ED3" w:rsidP="00E41D98">
      <w:pPr>
        <w:pStyle w:val="20"/>
        <w:spacing w:before="0" w:after="0" w:line="276" w:lineRule="auto"/>
        <w:ind w:left="80"/>
        <w:rPr>
          <w:rStyle w:val="21"/>
          <w:b/>
          <w:bCs/>
        </w:rPr>
      </w:pPr>
      <w:r>
        <w:rPr>
          <w:rStyle w:val="21"/>
          <w:b/>
          <w:bCs/>
        </w:rPr>
        <w:t>повышенной экологической опасности</w:t>
      </w:r>
    </w:p>
    <w:p w:rsidR="00E41D98" w:rsidRDefault="00E41D98" w:rsidP="00E41D98">
      <w:pPr>
        <w:pStyle w:val="20"/>
        <w:spacing w:before="0" w:after="0" w:line="276" w:lineRule="auto"/>
        <w:ind w:left="80"/>
        <w:rPr>
          <w:rStyle w:val="21"/>
          <w:b/>
          <w:bCs/>
        </w:rPr>
      </w:pPr>
    </w:p>
    <w:p w:rsidR="00E41D98" w:rsidRDefault="00E41D98" w:rsidP="00E41D98">
      <w:pPr>
        <w:pStyle w:val="20"/>
        <w:spacing w:before="0" w:after="0" w:line="276" w:lineRule="auto"/>
        <w:ind w:left="80"/>
      </w:pPr>
    </w:p>
    <w:p w:rsidR="00E45B9B" w:rsidRDefault="00E66ED3" w:rsidP="00E41D98">
      <w:pPr>
        <w:pStyle w:val="3"/>
        <w:spacing w:before="0" w:after="0" w:line="276" w:lineRule="auto"/>
        <w:ind w:left="20" w:right="20" w:firstLine="860"/>
        <w:rPr>
          <w:rStyle w:val="12"/>
        </w:rPr>
      </w:pPr>
      <w:r>
        <w:rPr>
          <w:rStyle w:val="12"/>
        </w:rPr>
        <w:t xml:space="preserve">С целью установления видов деятельности и объектов повышенной экологической опасности, во исполнение пункта 1 части 2 статьи 6, пункта 1 статьи 44 </w:t>
      </w:r>
      <w:hyperlink r:id="rId8" w:history="1">
        <w:r w:rsidRPr="0047539C">
          <w:rPr>
            <w:rStyle w:val="a3"/>
          </w:rPr>
          <w:t xml:space="preserve">Закона Донецкой Народной Республики от 09 октября 2015 г. № 81- </w:t>
        </w:r>
        <w:r w:rsidRPr="0047539C">
          <w:rPr>
            <w:rStyle w:val="a3"/>
            <w:lang w:val="en-US" w:eastAsia="en-US" w:bidi="en-US"/>
          </w:rPr>
          <w:t>IHC</w:t>
        </w:r>
        <w:r w:rsidRPr="0047539C">
          <w:rPr>
            <w:rStyle w:val="a3"/>
            <w:lang w:eastAsia="en-US" w:bidi="en-US"/>
          </w:rPr>
          <w:t xml:space="preserve"> </w:t>
        </w:r>
        <w:r w:rsidRPr="0047539C">
          <w:rPr>
            <w:rStyle w:val="a3"/>
          </w:rPr>
          <w:t>«Об экологической экспертизе»</w:t>
        </w:r>
      </w:hyperlink>
      <w:r>
        <w:rPr>
          <w:rStyle w:val="12"/>
        </w:rPr>
        <w:t>, Совет Мини</w:t>
      </w:r>
      <w:r>
        <w:rPr>
          <w:rStyle w:val="12"/>
        </w:rPr>
        <w:t>стров Донецкой Народной Республики</w:t>
      </w:r>
    </w:p>
    <w:p w:rsidR="00E41D98" w:rsidRDefault="00E41D98" w:rsidP="00E41D98">
      <w:pPr>
        <w:pStyle w:val="3"/>
        <w:spacing w:before="0" w:after="0" w:line="276" w:lineRule="auto"/>
        <w:ind w:left="20" w:right="20" w:firstLine="860"/>
      </w:pPr>
    </w:p>
    <w:p w:rsidR="00E45B9B" w:rsidRDefault="00E66ED3" w:rsidP="00E41D98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E41D98" w:rsidRDefault="00E41D98" w:rsidP="00E41D98">
      <w:pPr>
        <w:pStyle w:val="20"/>
        <w:spacing w:before="0" w:after="0" w:line="276" w:lineRule="auto"/>
        <w:ind w:left="20"/>
        <w:jc w:val="left"/>
      </w:pPr>
    </w:p>
    <w:p w:rsidR="00E45B9B" w:rsidRDefault="00E66ED3" w:rsidP="006632A3">
      <w:pPr>
        <w:pStyle w:val="3"/>
        <w:numPr>
          <w:ilvl w:val="0"/>
          <w:numId w:val="1"/>
        </w:numPr>
        <w:spacing w:before="120" w:after="120" w:line="276" w:lineRule="auto"/>
        <w:ind w:left="23" w:right="23" w:firstLine="442"/>
      </w:pPr>
      <w:r>
        <w:rPr>
          <w:rStyle w:val="12"/>
        </w:rPr>
        <w:t xml:space="preserve"> </w:t>
      </w:r>
      <w:r w:rsidR="006632A3">
        <w:rPr>
          <w:rStyle w:val="12"/>
        </w:rPr>
        <w:tab/>
      </w:r>
      <w:r>
        <w:rPr>
          <w:rStyle w:val="12"/>
        </w:rPr>
        <w:t>Утвердить Перечень видов дея</w:t>
      </w:r>
      <w:r w:rsidR="006632A3">
        <w:rPr>
          <w:rStyle w:val="12"/>
        </w:rPr>
        <w:t xml:space="preserve">тельности и объектов повышенной </w:t>
      </w:r>
      <w:r>
        <w:rPr>
          <w:rStyle w:val="12"/>
        </w:rPr>
        <w:t>экологической опасности (прилагается).</w:t>
      </w:r>
    </w:p>
    <w:p w:rsidR="00E45B9B" w:rsidRDefault="00E66ED3" w:rsidP="006632A3">
      <w:pPr>
        <w:pStyle w:val="3"/>
        <w:numPr>
          <w:ilvl w:val="0"/>
          <w:numId w:val="1"/>
        </w:numPr>
        <w:spacing w:before="120" w:after="120" w:line="276" w:lineRule="auto"/>
        <w:ind w:left="23" w:right="23" w:firstLine="442"/>
        <w:rPr>
          <w:rStyle w:val="12"/>
        </w:rPr>
      </w:pPr>
      <w:r>
        <w:rPr>
          <w:rStyle w:val="12"/>
        </w:rPr>
        <w:t xml:space="preserve"> </w:t>
      </w:r>
      <w:r w:rsidR="006632A3">
        <w:rPr>
          <w:rStyle w:val="12"/>
        </w:rPr>
        <w:tab/>
      </w:r>
      <w:r>
        <w:rPr>
          <w:rStyle w:val="12"/>
        </w:rPr>
        <w:t>Настоящее Постановление вступает в силу со дня официального опубликования.</w:t>
      </w:r>
    </w:p>
    <w:p w:rsidR="00E41D98" w:rsidRDefault="00E41D98" w:rsidP="00E41D98">
      <w:pPr>
        <w:pStyle w:val="3"/>
        <w:spacing w:before="0" w:after="0" w:line="276" w:lineRule="auto"/>
        <w:ind w:right="20"/>
        <w:jc w:val="left"/>
        <w:rPr>
          <w:rStyle w:val="12"/>
        </w:rPr>
      </w:pPr>
    </w:p>
    <w:p w:rsidR="00E41D98" w:rsidRDefault="00E41D98" w:rsidP="00E41D98">
      <w:pPr>
        <w:pStyle w:val="3"/>
        <w:spacing w:before="0" w:after="0" w:line="276" w:lineRule="auto"/>
        <w:ind w:right="20"/>
        <w:jc w:val="left"/>
        <w:rPr>
          <w:rStyle w:val="12"/>
        </w:rPr>
      </w:pPr>
    </w:p>
    <w:p w:rsidR="00E41D98" w:rsidRDefault="00E41D98" w:rsidP="00E41D98">
      <w:pPr>
        <w:pStyle w:val="3"/>
        <w:spacing w:before="0" w:after="0" w:line="276" w:lineRule="auto"/>
        <w:ind w:right="20"/>
        <w:jc w:val="left"/>
        <w:rPr>
          <w:rStyle w:val="12"/>
        </w:rPr>
      </w:pPr>
    </w:p>
    <w:p w:rsidR="00E41D98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  <w:r w:rsidRPr="006632A3">
        <w:rPr>
          <w:rStyle w:val="12"/>
          <w:b/>
        </w:rPr>
        <w:t xml:space="preserve">Председатель </w:t>
      </w:r>
      <w:r w:rsidRPr="006632A3">
        <w:rPr>
          <w:rStyle w:val="12"/>
          <w:b/>
        </w:rPr>
        <w:br/>
        <w:t xml:space="preserve">Совета Министров                                                                                   А. В. Захарченко </w:t>
      </w: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6632A3" w:rsidRPr="006632A3" w:rsidRDefault="006632A3" w:rsidP="00E41D98">
      <w:pPr>
        <w:pStyle w:val="3"/>
        <w:spacing w:before="0" w:after="0" w:line="276" w:lineRule="auto"/>
        <w:ind w:right="20"/>
        <w:jc w:val="left"/>
        <w:rPr>
          <w:rStyle w:val="12"/>
          <w:b/>
        </w:rPr>
      </w:pPr>
    </w:p>
    <w:p w:rsidR="00E41D98" w:rsidRDefault="00E41D98" w:rsidP="00E41D98">
      <w:pPr>
        <w:pStyle w:val="3"/>
        <w:spacing w:before="0" w:after="0" w:line="276" w:lineRule="auto"/>
        <w:ind w:right="20"/>
        <w:jc w:val="left"/>
      </w:pPr>
    </w:p>
    <w:p w:rsidR="00E45B9B" w:rsidRDefault="00E66ED3" w:rsidP="00E41D98">
      <w:pPr>
        <w:pStyle w:val="3"/>
        <w:spacing w:before="0" w:after="0" w:line="276" w:lineRule="auto"/>
        <w:ind w:left="5120"/>
      </w:pPr>
      <w:r>
        <w:t>УТВЕРЖДЕН</w:t>
      </w:r>
    </w:p>
    <w:p w:rsidR="006632A3" w:rsidRDefault="006632A3" w:rsidP="00E41D98">
      <w:pPr>
        <w:pStyle w:val="3"/>
        <w:spacing w:before="0" w:after="0" w:line="276" w:lineRule="auto"/>
        <w:ind w:left="5120"/>
      </w:pPr>
    </w:p>
    <w:p w:rsidR="00E45B9B" w:rsidRDefault="00E66ED3" w:rsidP="00E41D98">
      <w:pPr>
        <w:pStyle w:val="3"/>
        <w:spacing w:before="0" w:after="0" w:line="276" w:lineRule="auto"/>
        <w:ind w:left="5120" w:right="20"/>
      </w:pPr>
      <w:r>
        <w:t>Постановлением Совета</w:t>
      </w:r>
      <w:r>
        <w:t xml:space="preserve"> Министров Донецкой Народной Республики</w:t>
      </w:r>
    </w:p>
    <w:p w:rsidR="00E45B9B" w:rsidRDefault="00E66ED3" w:rsidP="00E41D98">
      <w:pPr>
        <w:pStyle w:val="3"/>
        <w:spacing w:before="0" w:after="0" w:line="276" w:lineRule="auto"/>
        <w:ind w:left="5120" w:right="20"/>
      </w:pPr>
      <w:r>
        <w:t>от 15 июня 2017 №7-6</w:t>
      </w:r>
    </w:p>
    <w:p w:rsidR="006632A3" w:rsidRDefault="006632A3" w:rsidP="00E41D98">
      <w:pPr>
        <w:pStyle w:val="3"/>
        <w:spacing w:before="0" w:after="0" w:line="276" w:lineRule="auto"/>
        <w:ind w:left="5120" w:right="20"/>
      </w:pPr>
    </w:p>
    <w:p w:rsidR="00E45B9B" w:rsidRDefault="00E66ED3" w:rsidP="00E41D98">
      <w:pPr>
        <w:pStyle w:val="20"/>
        <w:spacing w:before="0" w:after="0" w:line="276" w:lineRule="auto"/>
      </w:pPr>
      <w:r>
        <w:t>Перечень</w:t>
      </w:r>
    </w:p>
    <w:p w:rsidR="00E45B9B" w:rsidRDefault="00E66ED3" w:rsidP="00E41D98">
      <w:pPr>
        <w:pStyle w:val="20"/>
        <w:spacing w:before="0" w:after="0" w:line="276" w:lineRule="auto"/>
      </w:pPr>
      <w:r>
        <w:t>видов деятельности и объектов повышенной экологической опасности</w:t>
      </w:r>
    </w:p>
    <w:p w:rsidR="006632A3" w:rsidRDefault="006632A3" w:rsidP="00E41D98">
      <w:pPr>
        <w:pStyle w:val="20"/>
        <w:spacing w:before="0" w:after="0" w:line="276" w:lineRule="auto"/>
      </w:pP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Атомная энергетика и атомная промышленность, в том числе добыча и обогащение руды, изготовление тепловыделяющих элементо</w:t>
      </w:r>
      <w:r>
        <w:t>в для атомных электростанций, регенерация отработанного ядерного топлива, объекты размещения и утилизации радиоактивных отходов.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Производство электрической и/или тепловой энергии с использованием органического топлива: тепловые электростанции (ТЭС, ТЭЦ), </w:t>
      </w:r>
      <w:r>
        <w:t>установки для производства электроэнергии номинальной электрической мощностью свыше 100 кВт, установки для производства пара и горячей воды, номинальной тепловой мощностью свыше 200 кВт.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Металлургическое производство (черная и цветная металлургия) с испол</w:t>
      </w:r>
      <w:r>
        <w:t>ьзованием руд, металлов, вторичного сырья.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Машиностроение и/или металлообработка с химической и/или электролитической обработкой металлов.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Добыча и переработка, в том числе обжиг и спекание, полезных ископаемых, за исключением тех, которые добываются соб</w:t>
      </w:r>
      <w:r>
        <w:t>ственниками земельных участков и землепользователями в пределах предоставленных им земельных участков для хозяйственных и бытовых нужд общей глубиной разработки до 2 метров.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firstLine="700"/>
      </w:pPr>
      <w:r>
        <w:t xml:space="preserve"> Химическое производство: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производство химических веществ с объемом производства </w:t>
      </w:r>
      <w:r>
        <w:t>50 тонн в год и более;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фармацевтическое производство с изготовлением готовых лекарственных форм;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firstLine="700"/>
      </w:pPr>
      <w:r>
        <w:t xml:space="preserve"> химико-биологическое, биотехническое производства;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производство товаров бытовой химии, в том числе лакокрасочных материалов, клеев, моющих, чист</w:t>
      </w:r>
      <w:r>
        <w:rPr>
          <w:rStyle w:val="22"/>
        </w:rPr>
        <w:t>ящи</w:t>
      </w:r>
      <w:r>
        <w:t xml:space="preserve">х, </w:t>
      </w:r>
      <w:r>
        <w:t>отбеливающих, подкрахмаливающих, аппретирующих, полирующих, средств по уходу за изделиями из кожи, дезинфицирующих средств, антистатиков;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производство агрохимикатов, в том числе удобрений, кормовых добавок, регуляторов роста; средств защиты растений и пес</w:t>
      </w:r>
      <w:r>
        <w:t xml:space="preserve">тицидов; средств борьбы с </w:t>
      </w:r>
      <w:r>
        <w:lastRenderedPageBreak/>
        <w:t>насекомыми и грызунами;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left="20" w:firstLine="700"/>
      </w:pPr>
      <w:r>
        <w:t xml:space="preserve"> производство технического углерода и электрографита;</w:t>
      </w:r>
    </w:p>
    <w:p w:rsidR="00E45B9B" w:rsidRDefault="00E66ED3" w:rsidP="00E41D98">
      <w:pPr>
        <w:pStyle w:val="3"/>
        <w:numPr>
          <w:ilvl w:val="0"/>
          <w:numId w:val="3"/>
        </w:numPr>
        <w:spacing w:before="0" w:after="0" w:line="276" w:lineRule="auto"/>
        <w:ind w:left="20" w:firstLine="700"/>
      </w:pPr>
      <w:r>
        <w:t xml:space="preserve"> производство наноматериалов мощностью более 10 тонн в год.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Переработка, хранение (базисные и расходные склады, хранилища, базы объемом более 50 тонн) </w:t>
      </w:r>
      <w:r>
        <w:t>и транспортировка по магистральным трубопроводам химических веществ, углеводородного сырья и продуктов его переработки, в том числе природного газа, сланцевого газа, нефтяного газа, сжиженного газа, газа центрально-бассейнового типа, газа угольных месторож</w:t>
      </w:r>
      <w:r>
        <w:t>дений, конденсата, нефти, нефтепродуктов.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Пункты очистки, промывки и пропарки цистерн и прочих емкостей для перевозки нефти и нефтепродуктов.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Обработка и переработка древесины (химическая и термическая, в том числе с получением древесного угля); изготовл</w:t>
      </w:r>
      <w:r>
        <w:t>ение древесноволокнистых, древесностружечных плит и др. с использованием синтетических смол; консервирование древесины просачиванием; производство целлюлозы и полуцеллюлозы сульфитным или сульфатным способами; производство бумаги, картона.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Производство ст</w:t>
      </w:r>
      <w:r>
        <w:t>роительных материалов: асфальта - более 10 тонн в сутки; цемента - более 50 тонн в сутки; асбестоцементной продукции - более 20 тыс. тонн в год; фрикционных материалов - более 50 тонн в год; стекла и стекловолокна - более 20 тонн в сутки; минерального воло</w:t>
      </w:r>
      <w:r>
        <w:t>кна - более 20 тонн в сутки; гипса; извести; кирпича; черепицы; огнеупоров; заполнителей; утеплителей; керамических, глиняных, фарфоровых изделий, изразцов.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firstLine="700"/>
      </w:pPr>
      <w:r>
        <w:t xml:space="preserve"> Объекты транспортной инфраструктуры: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firstLine="700"/>
      </w:pPr>
      <w:r>
        <w:t xml:space="preserve"> железнодорожные вокзалы;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firstLine="700"/>
      </w:pPr>
      <w:r>
        <w:t xml:space="preserve"> аэропорты и аэродромы со взлетно-п</w:t>
      </w:r>
      <w:r>
        <w:t>осадочными полосами;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морские и речные порты, пристани, эллинги, специализированные транспортные терминалы;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автотранспортные предприятия и станции технического обслуживания, на которых осуществляется ремонт и испытания автомобильных двигателей, ремонт кузовов с применением методов химической обработки поверхности;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автозаправочные станции и комплексы, автогазон</w:t>
      </w:r>
      <w:r>
        <w:t>аполнительные компрессорные станции, автомобильные газозаправочные станции сжиженного газа;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железные дороги (свыше 20 км); подземные и наземные линии метрополитена, включая депо с комплексом сооружений технического обслуживания и ремонта; подвесных линий или аналогичных линий особого типа, включая депо с комплексом сооружений технического обслуж</w:t>
      </w:r>
      <w:r>
        <w:t>ивания и ремонта;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автомобильные дороги, автомагистрали и скоростные дороги общего пользования государственного и местного значения всех категорий, которые имеют четыре или более полосы движения, или реконструкция имеющихся полос движения до четырех и боле</w:t>
      </w:r>
      <w:r>
        <w:t>е при условии их непрерывной протяженности 10 километров или более;</w:t>
      </w:r>
    </w:p>
    <w:p w:rsidR="00E45B9B" w:rsidRDefault="00E66ED3" w:rsidP="00E41D98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lastRenderedPageBreak/>
        <w:t xml:space="preserve"> глубоководные судовые проходы, в том числе по природным руслам рек, специальные каналы на суходоле и в мелководных морских акваториях.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firstLine="700"/>
      </w:pPr>
      <w:r>
        <w:t xml:space="preserve"> Гидротехнические сооружения:</w:t>
      </w:r>
    </w:p>
    <w:p w:rsidR="00E45B9B" w:rsidRDefault="00E66ED3" w:rsidP="00E41D98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водозаборы поверхност</w:t>
      </w:r>
      <w:r>
        <w:t>ных и подземных вод для систем централизованного водоснабжения населенных пунктов, промышленных предприятий;</w:t>
      </w:r>
    </w:p>
    <w:p w:rsidR="00E45B9B" w:rsidRDefault="00E66ED3" w:rsidP="00E41D98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системы закачивания сточных вод в изолированные подземные водоносные горизонты;</w:t>
      </w:r>
    </w:p>
    <w:p w:rsidR="00E45B9B" w:rsidRDefault="00E66ED3" w:rsidP="00E41D98">
      <w:pPr>
        <w:pStyle w:val="3"/>
        <w:numPr>
          <w:ilvl w:val="0"/>
          <w:numId w:val="5"/>
        </w:numPr>
        <w:spacing w:before="0" w:after="0" w:line="276" w:lineRule="auto"/>
        <w:ind w:left="20" w:firstLine="700"/>
      </w:pPr>
      <w:r>
        <w:t xml:space="preserve"> системы оборотного водоснабжения;</w:t>
      </w:r>
    </w:p>
    <w:p w:rsidR="00E45B9B" w:rsidRDefault="00E66ED3" w:rsidP="00E41D98">
      <w:pPr>
        <w:pStyle w:val="3"/>
        <w:numPr>
          <w:ilvl w:val="0"/>
          <w:numId w:val="5"/>
        </w:numPr>
        <w:spacing w:before="0" w:after="0" w:line="276" w:lineRule="auto"/>
        <w:ind w:left="20" w:firstLine="700"/>
      </w:pPr>
      <w:r>
        <w:t xml:space="preserve"> водохранилища;</w:t>
      </w:r>
    </w:p>
    <w:p w:rsidR="00E45B9B" w:rsidRDefault="00E66ED3" w:rsidP="00E41D98">
      <w:pPr>
        <w:pStyle w:val="3"/>
        <w:numPr>
          <w:ilvl w:val="0"/>
          <w:numId w:val="5"/>
        </w:numPr>
        <w:spacing w:before="0" w:after="0" w:line="276" w:lineRule="auto"/>
        <w:ind w:left="20" w:firstLine="700"/>
      </w:pPr>
      <w:r>
        <w:t xml:space="preserve"> отстойники.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firstLine="700"/>
      </w:pPr>
      <w:r>
        <w:t xml:space="preserve"> О</w:t>
      </w:r>
      <w:r>
        <w:t>чистные сооружения и канализационные системы:</w:t>
      </w:r>
    </w:p>
    <w:p w:rsidR="00E45B9B" w:rsidRDefault="00E66ED3" w:rsidP="00E41D98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очистные сооружения, в том числе системы водоподготовки питьевого водоснабжения;</w:t>
      </w:r>
    </w:p>
    <w:p w:rsidR="00E45B9B" w:rsidRDefault="00E66ED3" w:rsidP="00E41D98">
      <w:pPr>
        <w:pStyle w:val="3"/>
        <w:numPr>
          <w:ilvl w:val="0"/>
          <w:numId w:val="6"/>
        </w:numPr>
        <w:spacing w:before="0" w:after="0" w:line="276" w:lineRule="auto"/>
        <w:ind w:left="20" w:firstLine="700"/>
      </w:pPr>
      <w:r>
        <w:t xml:space="preserve"> системы обработки (подготовки) шахтных, карьерных и дренажных</w:t>
      </w:r>
    </w:p>
    <w:p w:rsidR="00E45B9B" w:rsidRDefault="00E66ED3" w:rsidP="00E41D98">
      <w:pPr>
        <w:pStyle w:val="3"/>
        <w:spacing w:before="0" w:after="0" w:line="276" w:lineRule="auto"/>
        <w:ind w:left="20"/>
      </w:pPr>
      <w:r>
        <w:t>вод;</w:t>
      </w:r>
    </w:p>
    <w:p w:rsidR="00E45B9B" w:rsidRDefault="00E66ED3" w:rsidP="00E41D98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системы сброса шахтных, карьерных и дренажных вод в водные объекты;</w:t>
      </w:r>
    </w:p>
    <w:p w:rsidR="00E45B9B" w:rsidRDefault="00E66ED3" w:rsidP="00E41D98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системы сброса очищенных сточных вод и канализационные сети диаметром 1000 миллиметров и более.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Расчистка и углубление русла и дна рек, укрепление берегов, изменение и стабилизация сост</w:t>
      </w:r>
      <w:r>
        <w:t>ояния русла, работы по межбассейновому перераспределению стока рек.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Строительные работы на землях водного фонда: добыча песка и гравия, прокладка кабелей, трубопроводов и других коммуникаций.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left="20" w:firstLine="700"/>
      </w:pPr>
      <w:r>
        <w:t xml:space="preserve"> Животноводство, птицеводство и рыбоводство:</w:t>
      </w:r>
    </w:p>
    <w:p w:rsidR="00E45B9B" w:rsidRDefault="00E66ED3" w:rsidP="00E41D98">
      <w:pPr>
        <w:pStyle w:val="3"/>
        <w:numPr>
          <w:ilvl w:val="0"/>
          <w:numId w:val="7"/>
        </w:numPr>
        <w:tabs>
          <w:tab w:val="left" w:pos="1148"/>
        </w:tabs>
        <w:spacing w:before="0" w:after="0" w:line="276" w:lineRule="auto"/>
        <w:ind w:left="20" w:right="20" w:firstLine="700"/>
      </w:pPr>
      <w:r>
        <w:t>животноводческие к</w:t>
      </w:r>
      <w:r>
        <w:t>омплексы единовременного содержания для свиней (2 тыс. голов и более), свиноматок (750 голов и более), крупного рогатого скота (2 тыс. голов и более), пушных животных (3 тыс. голов и более), овец (5 тыс. голов и более);</w:t>
      </w:r>
    </w:p>
    <w:p w:rsidR="00E45B9B" w:rsidRDefault="00E66ED3" w:rsidP="00E41D98">
      <w:pPr>
        <w:pStyle w:val="3"/>
        <w:numPr>
          <w:ilvl w:val="0"/>
          <w:numId w:val="7"/>
        </w:numPr>
        <w:tabs>
          <w:tab w:val="left" w:pos="1133"/>
        </w:tabs>
        <w:spacing w:before="0" w:after="0" w:line="276" w:lineRule="auto"/>
        <w:ind w:right="20" w:firstLine="700"/>
      </w:pPr>
      <w:r>
        <w:t>птичники и птицефермы с годовым пого</w:t>
      </w:r>
      <w:r>
        <w:t>ловьем (40 тыс. кур-несушек и более, 85 тыс. бройлеров и более).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Переработка продукции животноводства, птицеводства и рыбоводства:</w:t>
      </w:r>
    </w:p>
    <w:p w:rsidR="00E45B9B" w:rsidRDefault="00E66ED3" w:rsidP="00E41D98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мясокомбинаты, мясоперерабатывающие предприятия и мясохладобойни, включая базы предубойного содержания скота в пределах трехсуточного запаса скотсырья;</w:t>
      </w:r>
    </w:p>
    <w:p w:rsidR="00E45B9B" w:rsidRDefault="00E66ED3" w:rsidP="00E41D98">
      <w:pPr>
        <w:pStyle w:val="3"/>
        <w:numPr>
          <w:ilvl w:val="0"/>
          <w:numId w:val="8"/>
        </w:numPr>
        <w:spacing w:before="0" w:after="0" w:line="276" w:lineRule="auto"/>
        <w:ind w:firstLine="700"/>
      </w:pPr>
      <w:r>
        <w:t xml:space="preserve"> молокозаводы, в том числе производство сыров;</w:t>
      </w:r>
    </w:p>
    <w:p w:rsidR="00E45B9B" w:rsidRDefault="00E66ED3" w:rsidP="00E41D98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производства, использующие в технологии микроорганизмы </w:t>
      </w:r>
      <w:r>
        <w:t>1-й и 2-й групп патогенности;</w:t>
      </w:r>
    </w:p>
    <w:p w:rsidR="00E45B9B" w:rsidRDefault="00E66ED3" w:rsidP="00E41D98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производства по очистке, промывке, отбеливанию и окрашиванию шерсти, хлопка, льна и производство на их основе пряжи и тканей; кожевенные производства; красильные фабрики.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firstLine="700"/>
      </w:pPr>
      <w:r>
        <w:t xml:space="preserve"> Переработка продукции растениеводства:</w:t>
      </w:r>
    </w:p>
    <w:p w:rsidR="00E45B9B" w:rsidRDefault="00E66ED3" w:rsidP="00E41D98">
      <w:pPr>
        <w:pStyle w:val="3"/>
        <w:numPr>
          <w:ilvl w:val="0"/>
          <w:numId w:val="9"/>
        </w:numPr>
        <w:spacing w:before="0" w:after="0" w:line="276" w:lineRule="auto"/>
        <w:ind w:right="20" w:firstLine="700"/>
      </w:pPr>
      <w:r>
        <w:lastRenderedPageBreak/>
        <w:t xml:space="preserve"> производство </w:t>
      </w:r>
      <w:r>
        <w:t>жиров и растительных масел методом экстракции органическими растворителями;</w:t>
      </w:r>
    </w:p>
    <w:p w:rsidR="00E45B9B" w:rsidRDefault="00E66ED3" w:rsidP="00E41D98">
      <w:pPr>
        <w:pStyle w:val="3"/>
        <w:numPr>
          <w:ilvl w:val="0"/>
          <w:numId w:val="9"/>
        </w:numPr>
        <w:spacing w:before="0" w:after="0" w:line="276" w:lineRule="auto"/>
        <w:ind w:firstLine="700"/>
      </w:pPr>
      <w:r>
        <w:t xml:space="preserve"> сахарозаводы;</w:t>
      </w:r>
    </w:p>
    <w:p w:rsidR="00E45B9B" w:rsidRDefault="00E66ED3" w:rsidP="00E41D98">
      <w:pPr>
        <w:pStyle w:val="3"/>
        <w:numPr>
          <w:ilvl w:val="0"/>
          <w:numId w:val="9"/>
        </w:numPr>
        <w:spacing w:before="0" w:after="0" w:line="276" w:lineRule="auto"/>
        <w:ind w:firstLine="700"/>
      </w:pPr>
      <w:r>
        <w:t xml:space="preserve"> спиртзаводы;</w:t>
      </w:r>
    </w:p>
    <w:p w:rsidR="00E45B9B" w:rsidRDefault="00E66ED3" w:rsidP="00E41D98">
      <w:pPr>
        <w:pStyle w:val="3"/>
        <w:numPr>
          <w:ilvl w:val="0"/>
          <w:numId w:val="9"/>
        </w:numPr>
        <w:spacing w:before="0" w:after="0" w:line="276" w:lineRule="auto"/>
        <w:ind w:firstLine="700"/>
      </w:pPr>
      <w:r>
        <w:t xml:space="preserve"> производство олифы.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Обращение с отходами производства и потребления (образование, сбор, накопление, использование, обезвреживание, транспортировка, х</w:t>
      </w:r>
      <w:r>
        <w:t>ранение, сортировка, переработка, утилизация, удаление, размещение, захоронение) и их обработка, кроме радиоактивных отходов.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Места массового захоронения людей и животных: кладбища, скотомогильники.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Производство, хранение, утилизация и уничтожение боепри</w:t>
      </w:r>
      <w:r>
        <w:t>пасов всех видов, взрывчатых веществ, ракетного топлива и других токсичных химических веществ.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Объекты, для размещения которых требуется вырубка древесно</w:t>
      </w:r>
      <w:r>
        <w:softHyphen/>
        <w:t>кустарниковой растительности на территории площадью более 0,12 гектара (за исключением вырубки, связа</w:t>
      </w:r>
      <w:r>
        <w:t>нной с ведением лесного хозяйства).</w:t>
      </w:r>
    </w:p>
    <w:p w:rsidR="00E45B9B" w:rsidRDefault="00E66ED3" w:rsidP="00E41D98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Хозяйственная деятельность, за исключением лесохозяйственной, в хозяйственных зонах особо охраняемых природных территорий, в границах водоохранных зон, прибрежных защитных полос водных объектов, зон санитарной охраны водозаборов.</w:t>
      </w:r>
    </w:p>
    <w:sectPr w:rsidR="00E45B9B" w:rsidSect="006632A3">
      <w:type w:val="continuous"/>
      <w:pgSz w:w="11906" w:h="16838"/>
      <w:pgMar w:top="1276" w:right="991" w:bottom="1158" w:left="11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ED3" w:rsidRDefault="00E66ED3" w:rsidP="00E45B9B">
      <w:r>
        <w:separator/>
      </w:r>
    </w:p>
  </w:endnote>
  <w:endnote w:type="continuationSeparator" w:id="1">
    <w:p w:rsidR="00E66ED3" w:rsidRDefault="00E66ED3" w:rsidP="00E45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ED3" w:rsidRDefault="00E66ED3"/>
  </w:footnote>
  <w:footnote w:type="continuationSeparator" w:id="1">
    <w:p w:rsidR="00E66ED3" w:rsidRDefault="00E66E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4DF"/>
    <w:multiLevelType w:val="multilevel"/>
    <w:tmpl w:val="228E0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F63F0"/>
    <w:multiLevelType w:val="multilevel"/>
    <w:tmpl w:val="804C5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E5004"/>
    <w:multiLevelType w:val="multilevel"/>
    <w:tmpl w:val="B936D9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A63AD"/>
    <w:multiLevelType w:val="multilevel"/>
    <w:tmpl w:val="80A6F0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F73E8"/>
    <w:multiLevelType w:val="multilevel"/>
    <w:tmpl w:val="CB2A9F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9E0294"/>
    <w:multiLevelType w:val="multilevel"/>
    <w:tmpl w:val="08063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3D3B9C"/>
    <w:multiLevelType w:val="multilevel"/>
    <w:tmpl w:val="26FC05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C30F8B"/>
    <w:multiLevelType w:val="multilevel"/>
    <w:tmpl w:val="16761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432C17"/>
    <w:multiLevelType w:val="multilevel"/>
    <w:tmpl w:val="412E10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45B9B"/>
    <w:rsid w:val="0047539C"/>
    <w:rsid w:val="006632A3"/>
    <w:rsid w:val="00E04D0E"/>
    <w:rsid w:val="00E41D98"/>
    <w:rsid w:val="00E45B9B"/>
    <w:rsid w:val="00E66ED3"/>
    <w:rsid w:val="00ED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5B9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5B9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45B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45B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45B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E45B9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E45B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E45B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45B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E45B9B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E45B9B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E45B9B"/>
    <w:pPr>
      <w:spacing w:before="300" w:after="60" w:line="67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E45B9B"/>
    <w:pPr>
      <w:spacing w:before="600" w:after="30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04D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D0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81-ihc-ob-ekologicheskoj-ekspertiz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2019-04-04T14:34:00Z</dcterms:created>
  <dcterms:modified xsi:type="dcterms:W3CDTF">2019-04-04T14:48:00Z</dcterms:modified>
</cp:coreProperties>
</file>