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76" w:rsidRDefault="00704076" w:rsidP="0070407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51514F19" wp14:editId="501573F4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EE9" w:rsidRDefault="003856D8" w:rsidP="00704076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DB7EE9" w:rsidRDefault="003856D8" w:rsidP="00704076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704076" w:rsidRDefault="00704076" w:rsidP="00704076">
      <w:pPr>
        <w:pStyle w:val="10"/>
        <w:keepNext/>
        <w:keepLines/>
        <w:shd w:val="clear" w:color="auto" w:fill="auto"/>
        <w:spacing w:after="0" w:line="276" w:lineRule="auto"/>
      </w:pPr>
    </w:p>
    <w:p w:rsidR="00DB7EE9" w:rsidRDefault="003856D8" w:rsidP="00704076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DB7EE9" w:rsidRDefault="003856D8" w:rsidP="00704076">
      <w:pPr>
        <w:pStyle w:val="30"/>
        <w:shd w:val="clear" w:color="auto" w:fill="auto"/>
        <w:spacing w:before="0" w:after="0" w:line="276" w:lineRule="auto"/>
      </w:pPr>
      <w:r>
        <w:t>от 10 марта 2017 г. № 3-15</w:t>
      </w:r>
    </w:p>
    <w:p w:rsidR="00704076" w:rsidRDefault="00704076" w:rsidP="00704076">
      <w:pPr>
        <w:pStyle w:val="30"/>
        <w:shd w:val="clear" w:color="auto" w:fill="auto"/>
        <w:spacing w:before="0" w:after="0" w:line="276" w:lineRule="auto"/>
      </w:pPr>
    </w:p>
    <w:p w:rsidR="00704076" w:rsidRDefault="00704076" w:rsidP="00704076">
      <w:pPr>
        <w:pStyle w:val="30"/>
        <w:shd w:val="clear" w:color="auto" w:fill="auto"/>
        <w:spacing w:before="0" w:after="0" w:line="276" w:lineRule="auto"/>
        <w:ind w:right="320"/>
      </w:pPr>
    </w:p>
    <w:p w:rsidR="00DB7EE9" w:rsidRDefault="003856D8" w:rsidP="00704076">
      <w:pPr>
        <w:pStyle w:val="30"/>
        <w:shd w:val="clear" w:color="auto" w:fill="auto"/>
        <w:spacing w:before="0" w:after="0" w:line="276" w:lineRule="auto"/>
        <w:ind w:right="320"/>
      </w:pPr>
      <w:r>
        <w:t>Об утверждении срока действия лицензии, платы за выдачу лицензии,</w:t>
      </w:r>
      <w:r w:rsidR="00704076">
        <w:t xml:space="preserve"> </w:t>
      </w:r>
      <w:r>
        <w:t xml:space="preserve">перечня документов, прилагаемых к заявлению о выдаче лицензии на осуществление хозяйственной </w:t>
      </w:r>
      <w:r>
        <w:t>деятельности по проведению экспертизы</w:t>
      </w:r>
      <w:r w:rsidR="00704076">
        <w:t xml:space="preserve"> </w:t>
      </w:r>
      <w:r>
        <w:t>промышленной безопасности</w:t>
      </w:r>
    </w:p>
    <w:p w:rsidR="00704076" w:rsidRDefault="00704076" w:rsidP="00704076">
      <w:pPr>
        <w:pStyle w:val="30"/>
        <w:shd w:val="clear" w:color="auto" w:fill="auto"/>
        <w:spacing w:before="0" w:after="0" w:line="276" w:lineRule="auto"/>
        <w:ind w:left="360" w:right="320"/>
        <w:jc w:val="both"/>
      </w:pPr>
    </w:p>
    <w:p w:rsidR="00704076" w:rsidRDefault="00704076" w:rsidP="00704076">
      <w:pPr>
        <w:pStyle w:val="30"/>
        <w:shd w:val="clear" w:color="auto" w:fill="auto"/>
        <w:spacing w:before="0" w:after="0" w:line="276" w:lineRule="auto"/>
        <w:ind w:left="360" w:right="320"/>
        <w:jc w:val="both"/>
      </w:pPr>
    </w:p>
    <w:p w:rsidR="00DB7EE9" w:rsidRDefault="003856D8" w:rsidP="00704076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t xml:space="preserve">В соответствии с пунктом 41 части третьей статьи 10, части четвертой статьи 11, части четвертой статьи 15, части первой статьи 16 </w:t>
      </w:r>
      <w:hyperlink r:id="rId9" w:history="1">
        <w:r w:rsidRPr="006F5E04">
          <w:rPr>
            <w:rStyle w:val="a3"/>
          </w:rPr>
          <w:t xml:space="preserve">Закона Донецкой Народной Республики от 27 февраля 2015 г. № </w:t>
        </w:r>
        <w:r w:rsidRPr="006F5E04">
          <w:rPr>
            <w:rStyle w:val="a3"/>
            <w:lang w:eastAsia="en-US" w:bidi="en-US"/>
          </w:rPr>
          <w:t>18</w:t>
        </w:r>
        <w:r w:rsidRPr="006F5E04">
          <w:rPr>
            <w:rStyle w:val="a3"/>
            <w:lang w:eastAsia="en-US" w:bidi="en-US"/>
          </w:rPr>
          <w:t>-</w:t>
        </w:r>
        <w:r w:rsidRPr="006F5E04">
          <w:rPr>
            <w:rStyle w:val="a3"/>
            <w:lang w:val="en-US" w:eastAsia="en-US" w:bidi="en-US"/>
          </w:rPr>
          <w:t>IHC</w:t>
        </w:r>
        <w:r w:rsidRPr="006F5E04">
          <w:rPr>
            <w:rStyle w:val="a3"/>
            <w:lang w:eastAsia="en-US" w:bidi="en-US"/>
          </w:rPr>
          <w:t xml:space="preserve"> </w:t>
        </w:r>
        <w:r w:rsidRPr="006F5E04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, статьями 77, 78 </w:t>
      </w:r>
      <w:hyperlink r:id="rId10" w:history="1">
        <w:r w:rsidRPr="006F5E04">
          <w:rPr>
            <w:rStyle w:val="a3"/>
          </w:rPr>
          <w:t>Конституции Донецкой Народной Республики</w:t>
        </w:r>
      </w:hyperlink>
      <w:r>
        <w:t xml:space="preserve">, Совет Министров Донецкой Народной Республики </w:t>
      </w:r>
      <w:r w:rsidR="00704076">
        <w:br/>
      </w:r>
      <w:r>
        <w:rPr>
          <w:rStyle w:val="23"/>
        </w:rPr>
        <w:t>ПОСТАНОВЛЯЕТ:</w:t>
      </w:r>
    </w:p>
    <w:p w:rsidR="00704076" w:rsidRDefault="00704076" w:rsidP="00704076">
      <w:pPr>
        <w:pStyle w:val="22"/>
        <w:shd w:val="clear" w:color="auto" w:fill="auto"/>
        <w:spacing w:before="120" w:after="0" w:line="276" w:lineRule="auto"/>
        <w:ind w:firstLine="760"/>
      </w:pPr>
    </w:p>
    <w:p w:rsidR="00DB7EE9" w:rsidRDefault="003856D8" w:rsidP="00704076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760"/>
      </w:pPr>
      <w:r>
        <w:t xml:space="preserve">Установить, что срок действия лицензии на осуществление хозяйственной </w:t>
      </w:r>
      <w:r>
        <w:t>деятельности по проведению экспертизы промышленной безопасности составляет пять лет.</w:t>
      </w:r>
    </w:p>
    <w:p w:rsidR="00DB7EE9" w:rsidRDefault="003856D8" w:rsidP="00704076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760"/>
      </w:pPr>
      <w:r>
        <w:t xml:space="preserve">Установить государственную пошлину за выдачу лицензии в размере, установленном пунктом 1 </w:t>
      </w:r>
      <w:hyperlink r:id="rId11" w:history="1">
        <w:r w:rsidRPr="00BD5C5F">
          <w:rPr>
            <w:rStyle w:val="a3"/>
          </w:rPr>
          <w:t>Постановления Президиума Совета Министров Донецкой Народной Республики от 28 марта</w:t>
        </w:r>
        <w:r w:rsidRPr="00BD5C5F">
          <w:rPr>
            <w:rStyle w:val="a3"/>
          </w:rPr>
          <w:t xml:space="preserve"> 2016 г. № 4-3 «Об установлении размера республиканской пошлины за выдачу лицензии, выдачу копии, дубликата лицензии, переоформление лицензии на отдельные виды хозяйственной деятельности»</w:t>
        </w:r>
      </w:hyperlink>
      <w:bookmarkStart w:id="2" w:name="_GoBack"/>
      <w:bookmarkEnd w:id="2"/>
      <w:r>
        <w:t>.</w:t>
      </w:r>
    </w:p>
    <w:p w:rsidR="00DB7EE9" w:rsidRDefault="003856D8" w:rsidP="00704076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760"/>
      </w:pPr>
      <w:r>
        <w:t>Установить, что государственная пошлина зачисляется в Республиканск</w:t>
      </w:r>
      <w:r>
        <w:t xml:space="preserve">ий бюджет Донецкой Народной Республики по </w:t>
      </w:r>
      <w:r>
        <w:lastRenderedPageBreak/>
        <w:t>соответствующему коду бюджетной классификации.</w:t>
      </w:r>
    </w:p>
    <w:p w:rsidR="00DB7EE9" w:rsidRDefault="003856D8" w:rsidP="00704076">
      <w:pPr>
        <w:pStyle w:val="22"/>
        <w:numPr>
          <w:ilvl w:val="0"/>
          <w:numId w:val="2"/>
        </w:numPr>
        <w:shd w:val="clear" w:color="auto" w:fill="auto"/>
        <w:tabs>
          <w:tab w:val="left" w:pos="1418"/>
        </w:tabs>
        <w:spacing w:before="120" w:after="0" w:line="276" w:lineRule="auto"/>
        <w:ind w:firstLine="740"/>
      </w:pPr>
      <w:r>
        <w:rPr>
          <w:rStyle w:val="24"/>
        </w:rPr>
        <w:t>Утвердить Перечень документов, прилагаемых к заявлению о выдаче лицензии на осуществление хозяйственной деятельности по проведению экспертизы промышленной безопасности</w:t>
      </w:r>
      <w:r>
        <w:rPr>
          <w:rStyle w:val="24"/>
        </w:rPr>
        <w:t xml:space="preserve"> (прилагается).</w:t>
      </w:r>
    </w:p>
    <w:p w:rsidR="00704076" w:rsidRDefault="003856D8" w:rsidP="00704076">
      <w:pPr>
        <w:pStyle w:val="22"/>
        <w:numPr>
          <w:ilvl w:val="0"/>
          <w:numId w:val="2"/>
        </w:numPr>
        <w:shd w:val="clear" w:color="auto" w:fill="auto"/>
        <w:tabs>
          <w:tab w:val="left" w:pos="1418"/>
        </w:tabs>
        <w:spacing w:before="120" w:after="0" w:line="276" w:lineRule="auto"/>
        <w:ind w:firstLine="740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P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  <w:rPr>
          <w:b/>
        </w:rPr>
      </w:pPr>
      <w:r w:rsidRPr="00704076">
        <w:rPr>
          <w:b/>
        </w:rPr>
        <w:t xml:space="preserve">Председатель </w:t>
      </w:r>
    </w:p>
    <w:p w:rsidR="00704076" w:rsidRP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  <w:rPr>
          <w:b/>
        </w:rPr>
      </w:pPr>
      <w:r w:rsidRPr="00704076">
        <w:rPr>
          <w:b/>
        </w:rPr>
        <w:t xml:space="preserve">Совета Министров           </w:t>
      </w:r>
      <w:r>
        <w:rPr>
          <w:b/>
        </w:rPr>
        <w:t xml:space="preserve">                                             </w:t>
      </w:r>
      <w:r w:rsidRPr="00704076">
        <w:rPr>
          <w:b/>
        </w:rPr>
        <w:t xml:space="preserve">          А. В. Захарченко</w:t>
      </w:r>
    </w:p>
    <w:p w:rsidR="00704076" w:rsidRP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  <w:rPr>
          <w:b/>
        </w:rPr>
      </w:pPr>
    </w:p>
    <w:p w:rsidR="00704076" w:rsidRP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  <w:rPr>
          <w:b/>
        </w:rPr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704076" w:rsidRDefault="00704076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DB7EE9" w:rsidRDefault="003856D8" w:rsidP="00704076">
      <w:pPr>
        <w:pStyle w:val="22"/>
        <w:shd w:val="clear" w:color="auto" w:fill="auto"/>
        <w:tabs>
          <w:tab w:val="left" w:pos="1418"/>
        </w:tabs>
        <w:spacing w:before="0" w:after="0" w:line="276" w:lineRule="auto"/>
        <w:ind w:left="5670"/>
      </w:pPr>
      <w:r>
        <w:rPr>
          <w:rStyle w:val="24"/>
        </w:rPr>
        <w:lastRenderedPageBreak/>
        <w:t>УТВЕРЖДЕН</w:t>
      </w:r>
    </w:p>
    <w:p w:rsidR="00DB7EE9" w:rsidRDefault="003856D8" w:rsidP="00704076">
      <w:pPr>
        <w:pStyle w:val="22"/>
        <w:shd w:val="clear" w:color="auto" w:fill="auto"/>
        <w:spacing w:before="0" w:after="0" w:line="276" w:lineRule="auto"/>
        <w:ind w:left="5670"/>
        <w:jc w:val="left"/>
      </w:pPr>
      <w:r>
        <w:rPr>
          <w:rStyle w:val="24"/>
        </w:rPr>
        <w:t>Постановлением</w:t>
      </w:r>
    </w:p>
    <w:p w:rsidR="00DB7EE9" w:rsidRDefault="003856D8" w:rsidP="00704076">
      <w:pPr>
        <w:pStyle w:val="22"/>
        <w:shd w:val="clear" w:color="auto" w:fill="auto"/>
        <w:spacing w:before="0" w:after="0" w:line="276" w:lineRule="auto"/>
        <w:ind w:left="5670"/>
        <w:jc w:val="left"/>
      </w:pPr>
      <w:r>
        <w:rPr>
          <w:rStyle w:val="24"/>
        </w:rPr>
        <w:t>Совета Министров Донецкой Народной Республики</w:t>
      </w:r>
    </w:p>
    <w:p w:rsidR="00DB7EE9" w:rsidRDefault="003856D8" w:rsidP="00704076">
      <w:pPr>
        <w:pStyle w:val="22"/>
        <w:shd w:val="clear" w:color="auto" w:fill="auto"/>
        <w:spacing w:before="0" w:after="0" w:line="276" w:lineRule="auto"/>
        <w:ind w:left="5670"/>
        <w:jc w:val="left"/>
        <w:rPr>
          <w:rStyle w:val="24"/>
        </w:rPr>
      </w:pPr>
      <w:r>
        <w:rPr>
          <w:rStyle w:val="24"/>
        </w:rPr>
        <w:t>от 10 марта 2017г. № 3-15</w:t>
      </w:r>
    </w:p>
    <w:p w:rsidR="00704076" w:rsidRDefault="00704076" w:rsidP="00704076">
      <w:pPr>
        <w:pStyle w:val="22"/>
        <w:shd w:val="clear" w:color="auto" w:fill="auto"/>
        <w:spacing w:before="0" w:after="0" w:line="276" w:lineRule="auto"/>
        <w:ind w:left="5670"/>
        <w:jc w:val="left"/>
      </w:pPr>
    </w:p>
    <w:p w:rsidR="00DB7EE9" w:rsidRDefault="003856D8" w:rsidP="00704076">
      <w:pPr>
        <w:pStyle w:val="40"/>
        <w:shd w:val="clear" w:color="auto" w:fill="auto"/>
        <w:spacing w:before="0" w:line="276" w:lineRule="auto"/>
      </w:pPr>
      <w:r>
        <w:rPr>
          <w:rStyle w:val="41"/>
          <w:b/>
          <w:bCs/>
        </w:rPr>
        <w:t>ПЕРЕЧЕНЬ</w:t>
      </w:r>
    </w:p>
    <w:p w:rsidR="00DB7EE9" w:rsidRDefault="003856D8" w:rsidP="00704076">
      <w:pPr>
        <w:pStyle w:val="30"/>
        <w:shd w:val="clear" w:color="auto" w:fill="auto"/>
        <w:spacing w:before="0" w:after="0" w:line="276" w:lineRule="auto"/>
      </w:pPr>
      <w:r>
        <w:rPr>
          <w:rStyle w:val="31"/>
          <w:b/>
          <w:bCs/>
        </w:rPr>
        <w:t xml:space="preserve">документов, прилагаемых к заявлению о </w:t>
      </w:r>
      <w:r>
        <w:rPr>
          <w:rStyle w:val="31"/>
          <w:b/>
          <w:bCs/>
        </w:rPr>
        <w:t>выдаче лицензии на</w:t>
      </w:r>
      <w:r>
        <w:rPr>
          <w:rStyle w:val="31"/>
          <w:b/>
          <w:bCs/>
        </w:rPr>
        <w:br/>
        <w:t>осуществление хозяйственной деятельности по проведению экспертизы</w:t>
      </w:r>
    </w:p>
    <w:p w:rsidR="00DB7EE9" w:rsidRDefault="003856D8" w:rsidP="00704076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промышленной безопасности</w:t>
      </w:r>
    </w:p>
    <w:p w:rsidR="00704076" w:rsidRDefault="00704076" w:rsidP="00704076">
      <w:pPr>
        <w:pStyle w:val="30"/>
        <w:shd w:val="clear" w:color="auto" w:fill="auto"/>
        <w:spacing w:before="0" w:after="0" w:line="276" w:lineRule="auto"/>
      </w:pPr>
    </w:p>
    <w:p w:rsidR="00DB7EE9" w:rsidRDefault="003856D8" w:rsidP="00704076">
      <w:pPr>
        <w:pStyle w:val="22"/>
        <w:shd w:val="clear" w:color="auto" w:fill="auto"/>
        <w:spacing w:before="0" w:after="0" w:line="276" w:lineRule="auto"/>
        <w:ind w:firstLine="800"/>
      </w:pPr>
      <w:r>
        <w:rPr>
          <w:rStyle w:val="24"/>
        </w:rPr>
        <w:t>1. К заявлению о выдаче лицензии на право осуществления хозяйственной деятельности по проведению экспертизы промышленной безопасности прилагаются</w:t>
      </w:r>
      <w:r>
        <w:rPr>
          <w:rStyle w:val="24"/>
        </w:rPr>
        <w:t xml:space="preserve"> копии следующих документов (заверенные подписью и печатью соискателя лицензии):</w:t>
      </w:r>
    </w:p>
    <w:p w:rsidR="00DB7EE9" w:rsidRDefault="003856D8" w:rsidP="00704076">
      <w:pPr>
        <w:pStyle w:val="22"/>
        <w:numPr>
          <w:ilvl w:val="0"/>
          <w:numId w:val="3"/>
        </w:numPr>
        <w:shd w:val="clear" w:color="auto" w:fill="auto"/>
        <w:tabs>
          <w:tab w:val="left" w:pos="1312"/>
        </w:tabs>
        <w:spacing w:before="0" w:after="0" w:line="276" w:lineRule="auto"/>
        <w:ind w:firstLine="800"/>
      </w:pPr>
      <w:r>
        <w:rPr>
          <w:rStyle w:val="24"/>
        </w:rPr>
        <w:t>учредительных документов юридического лица, паспорта и идентификационного номера физического лица - плательщика налогов;</w:t>
      </w:r>
    </w:p>
    <w:p w:rsidR="00DB7EE9" w:rsidRDefault="003856D8" w:rsidP="00704076">
      <w:pPr>
        <w:pStyle w:val="22"/>
        <w:numPr>
          <w:ilvl w:val="0"/>
          <w:numId w:val="3"/>
        </w:numPr>
        <w:shd w:val="clear" w:color="auto" w:fill="auto"/>
        <w:tabs>
          <w:tab w:val="left" w:pos="1312"/>
        </w:tabs>
        <w:spacing w:before="0" w:after="0" w:line="276" w:lineRule="auto"/>
        <w:ind w:firstLine="800"/>
      </w:pPr>
      <w:r>
        <w:rPr>
          <w:rStyle w:val="24"/>
        </w:rPr>
        <w:t>приказов о приеме на работу экспертов;</w:t>
      </w:r>
    </w:p>
    <w:p w:rsidR="00DB7EE9" w:rsidRDefault="003856D8" w:rsidP="00704076">
      <w:pPr>
        <w:pStyle w:val="22"/>
        <w:numPr>
          <w:ilvl w:val="0"/>
          <w:numId w:val="3"/>
        </w:numPr>
        <w:shd w:val="clear" w:color="auto" w:fill="auto"/>
        <w:tabs>
          <w:tab w:val="left" w:pos="1312"/>
        </w:tabs>
        <w:spacing w:before="0" w:after="0" w:line="276" w:lineRule="auto"/>
        <w:ind w:firstLine="800"/>
      </w:pPr>
      <w:r>
        <w:rPr>
          <w:rStyle w:val="24"/>
        </w:rPr>
        <w:t>квалификационны</w:t>
      </w:r>
      <w:r>
        <w:rPr>
          <w:rStyle w:val="24"/>
        </w:rPr>
        <w:t>х удостоверений экспертов;</w:t>
      </w:r>
    </w:p>
    <w:p w:rsidR="00DB7EE9" w:rsidRDefault="003856D8" w:rsidP="00704076">
      <w:pPr>
        <w:pStyle w:val="22"/>
        <w:numPr>
          <w:ilvl w:val="0"/>
          <w:numId w:val="3"/>
        </w:numPr>
        <w:shd w:val="clear" w:color="auto" w:fill="auto"/>
        <w:tabs>
          <w:tab w:val="left" w:pos="1312"/>
        </w:tabs>
        <w:spacing w:before="0" w:after="0" w:line="276" w:lineRule="auto"/>
        <w:ind w:firstLine="800"/>
      </w:pPr>
      <w:r>
        <w:rPr>
          <w:rStyle w:val="24"/>
        </w:rPr>
        <w:t>документов,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на ином законном основании по месту осуществления лицензируемой деят</w:t>
      </w:r>
      <w:r>
        <w:rPr>
          <w:rStyle w:val="24"/>
        </w:rPr>
        <w:t>ельности зданий или нежилых помещений;</w:t>
      </w:r>
    </w:p>
    <w:p w:rsidR="00DB7EE9" w:rsidRDefault="003856D8" w:rsidP="00704076">
      <w:pPr>
        <w:pStyle w:val="22"/>
        <w:numPr>
          <w:ilvl w:val="0"/>
          <w:numId w:val="3"/>
        </w:numPr>
        <w:shd w:val="clear" w:color="auto" w:fill="auto"/>
        <w:tabs>
          <w:tab w:val="left" w:pos="1447"/>
        </w:tabs>
        <w:spacing w:before="0" w:after="0" w:line="276" w:lineRule="auto"/>
        <w:ind w:firstLine="800"/>
      </w:pPr>
      <w:r>
        <w:rPr>
          <w:rStyle w:val="24"/>
        </w:rPr>
        <w:t>перечень оборудования, приборов, материалов и средств информационного обеспечения, необходимых для осуществления лицензируемой деятельности и принадлежащих соискателю лицензии на праве собственности или на ином законн</w:t>
      </w:r>
      <w:r>
        <w:rPr>
          <w:rStyle w:val="24"/>
        </w:rPr>
        <w:t>ом основании;</w:t>
      </w:r>
    </w:p>
    <w:p w:rsidR="00DB7EE9" w:rsidRDefault="003856D8" w:rsidP="00704076">
      <w:pPr>
        <w:pStyle w:val="22"/>
        <w:numPr>
          <w:ilvl w:val="0"/>
          <w:numId w:val="3"/>
        </w:numPr>
        <w:shd w:val="clear" w:color="auto" w:fill="auto"/>
        <w:tabs>
          <w:tab w:val="left" w:pos="1312"/>
        </w:tabs>
        <w:spacing w:before="0" w:after="0" w:line="276" w:lineRule="auto"/>
        <w:ind w:firstLine="800"/>
      </w:pPr>
      <w:r>
        <w:rPr>
          <w:rStyle w:val="24"/>
        </w:rPr>
        <w:t>разрешительного документа на выполнение работ повышенной опасности по осмотру, испытанию, техническому освидетельствованию, экспертному обследованию, техническому диагностированию технических устройств, применяемых на опасных производственных</w:t>
      </w:r>
      <w:r>
        <w:rPr>
          <w:rStyle w:val="24"/>
        </w:rPr>
        <w:t xml:space="preserve"> объектах, машин, механизмов, оборудования повышенной опасности (только для соискателя лицензии, намеренного проводить экспертизу промышленной безопасности технических устройств, применяемых на опасных производственных объектах).</w:t>
      </w:r>
    </w:p>
    <w:sectPr w:rsidR="00DB7EE9" w:rsidSect="00704076">
      <w:pgSz w:w="11900" w:h="16840"/>
      <w:pgMar w:top="1134" w:right="701" w:bottom="120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6D8" w:rsidRDefault="003856D8">
      <w:r>
        <w:separator/>
      </w:r>
    </w:p>
  </w:endnote>
  <w:endnote w:type="continuationSeparator" w:id="0">
    <w:p w:rsidR="003856D8" w:rsidRDefault="0038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6D8" w:rsidRDefault="003856D8"/>
  </w:footnote>
  <w:footnote w:type="continuationSeparator" w:id="0">
    <w:p w:rsidR="003856D8" w:rsidRDefault="003856D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38C"/>
    <w:multiLevelType w:val="multilevel"/>
    <w:tmpl w:val="4532F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9B2532"/>
    <w:multiLevelType w:val="multilevel"/>
    <w:tmpl w:val="45C8988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DB413B"/>
    <w:multiLevelType w:val="multilevel"/>
    <w:tmpl w:val="6144E16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B7EE9"/>
    <w:rsid w:val="003856D8"/>
    <w:rsid w:val="006F5E04"/>
    <w:rsid w:val="00704076"/>
    <w:rsid w:val="00BD5C5F"/>
    <w:rsid w:val="00DB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560" w:line="36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04076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07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4-3-ot-28-03-2016-g-ob-ustanovlenii-razmera-respublikanskoj-poshliny-za-vydachu-litsenzii-vydachu-kopii-dublikata-litsenzii-pereoformlenie-litsenzii-na-otdelnye-vid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463</Words>
  <Characters>3533</Characters>
  <Application>Microsoft Office Word</Application>
  <DocSecurity>0</DocSecurity>
  <Lines>90</Lines>
  <Paragraphs>33</Paragraphs>
  <ScaleCrop>false</ScaleCrop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2019-05-08T06:47:00Z</dcterms:created>
  <dcterms:modified xsi:type="dcterms:W3CDTF">2019-05-08T07:14:00Z</dcterms:modified>
</cp:coreProperties>
</file>