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96" w:rsidRDefault="00065445" w:rsidP="0077479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85pt;margin-top:0;width:81.1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53496" w:rsidRDefault="00E53496" w:rsidP="00774792">
      <w:pPr>
        <w:spacing w:line="276" w:lineRule="auto"/>
      </w:pPr>
    </w:p>
    <w:p w:rsidR="00E53496" w:rsidRDefault="00E53496" w:rsidP="00774792">
      <w:pPr>
        <w:spacing w:line="276" w:lineRule="auto"/>
      </w:pPr>
    </w:p>
    <w:p w:rsidR="00774792" w:rsidRDefault="00774792" w:rsidP="00774792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E53496" w:rsidRDefault="00065445" w:rsidP="00774792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E53496" w:rsidRDefault="00065445" w:rsidP="00774792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774792" w:rsidRDefault="00774792" w:rsidP="00774792">
      <w:pPr>
        <w:pStyle w:val="10"/>
        <w:keepNext/>
        <w:keepLines/>
        <w:shd w:val="clear" w:color="auto" w:fill="auto"/>
        <w:spacing w:after="0" w:line="276" w:lineRule="auto"/>
      </w:pPr>
    </w:p>
    <w:p w:rsidR="00E53496" w:rsidRDefault="00065445" w:rsidP="00774792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774792" w:rsidRDefault="00774792" w:rsidP="00774792">
      <w:pPr>
        <w:pStyle w:val="30"/>
        <w:shd w:val="clear" w:color="auto" w:fill="auto"/>
        <w:spacing w:before="0" w:after="0" w:line="276" w:lineRule="auto"/>
      </w:pPr>
    </w:p>
    <w:p w:rsidR="00E53496" w:rsidRDefault="00065445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  <w:bookmarkStart w:id="2" w:name="bookmark2"/>
      <w:r>
        <w:t>от 24 апреля 2019 г. № 7-1</w:t>
      </w:r>
      <w:bookmarkEnd w:id="2"/>
    </w:p>
    <w:p w:rsidR="00774792" w:rsidRDefault="00774792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</w:p>
    <w:p w:rsidR="00774792" w:rsidRDefault="00774792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</w:p>
    <w:p w:rsidR="00E53496" w:rsidRDefault="00065445" w:rsidP="00774792">
      <w:pPr>
        <w:pStyle w:val="40"/>
        <w:shd w:val="clear" w:color="auto" w:fill="auto"/>
        <w:spacing w:before="0" w:after="0" w:line="276" w:lineRule="auto"/>
        <w:ind w:firstLine="880"/>
      </w:pPr>
      <w:r>
        <w:t xml:space="preserve">Об утверждении Порядка оформления, выдачи, регистрации, внесения изменений, приостановления действия и аннулирования </w:t>
      </w:r>
      <w:r>
        <w:t>разрешительных документов на добычу (вылов) водных биоресурсов</w:t>
      </w:r>
    </w:p>
    <w:p w:rsidR="00774792" w:rsidRDefault="00774792" w:rsidP="00774792">
      <w:pPr>
        <w:pStyle w:val="40"/>
        <w:shd w:val="clear" w:color="auto" w:fill="auto"/>
        <w:spacing w:before="0" w:after="0" w:line="276" w:lineRule="auto"/>
        <w:ind w:firstLine="880"/>
      </w:pPr>
    </w:p>
    <w:p w:rsidR="00774792" w:rsidRDefault="00774792" w:rsidP="00774792">
      <w:pPr>
        <w:pStyle w:val="40"/>
        <w:shd w:val="clear" w:color="auto" w:fill="auto"/>
        <w:spacing w:before="0" w:after="0" w:line="276" w:lineRule="auto"/>
        <w:ind w:firstLine="880"/>
      </w:pP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соответствии со статьями 33 и 34 Закона Донецкой Народной Республики от 23 июня 2017 года № </w:t>
      </w:r>
      <w:r w:rsidRPr="00774792">
        <w:rPr>
          <w:lang w:eastAsia="en-US" w:bidi="en-US"/>
        </w:rPr>
        <w:t>185-</w:t>
      </w:r>
      <w:r>
        <w:rPr>
          <w:lang w:val="en-US" w:eastAsia="en-US" w:bidi="en-US"/>
        </w:rPr>
        <w:t>IHC</w:t>
      </w:r>
      <w:r w:rsidRPr="00774792">
        <w:rPr>
          <w:lang w:eastAsia="en-US" w:bidi="en-US"/>
        </w:rPr>
        <w:t xml:space="preserve"> </w:t>
      </w:r>
      <w:r>
        <w:t>«О рыболовстве и сохранении водных биологических ресурсов», руководствуясь статьями 77 и 78</w:t>
      </w:r>
      <w:r>
        <w:t xml:space="preserve"> Конституции Донецкой Народной Республики, Правительство Донецкой Народной Республики</w:t>
      </w:r>
    </w:p>
    <w:p w:rsidR="00774792" w:rsidRDefault="00774792" w:rsidP="00774792">
      <w:pPr>
        <w:pStyle w:val="22"/>
        <w:shd w:val="clear" w:color="auto" w:fill="auto"/>
        <w:spacing w:before="0" w:after="0" w:line="276" w:lineRule="auto"/>
        <w:ind w:firstLine="740"/>
      </w:pPr>
    </w:p>
    <w:p w:rsidR="00E53496" w:rsidRDefault="00065445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</w:pPr>
      <w:bookmarkStart w:id="3" w:name="bookmark3"/>
      <w:r>
        <w:t>ПОСТАНОВЛЯЕТ:</w:t>
      </w:r>
      <w:bookmarkEnd w:id="3"/>
    </w:p>
    <w:p w:rsidR="00774792" w:rsidRDefault="00774792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E53496" w:rsidRDefault="00065445" w:rsidP="00774792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 xml:space="preserve">Утвердить Порядок оформления, выдачи, регистрации, внесения изменений, приостановления действия и аннулирования разрешительных документов на добычу (вылов) </w:t>
      </w:r>
      <w:r>
        <w:t>водных биоресурсов (прилагается).</w:t>
      </w:r>
    </w:p>
    <w:p w:rsidR="00E53496" w:rsidRDefault="00065445" w:rsidP="00774792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43"/>
      </w:pPr>
      <w:r>
        <w:t>Государственному комитету водного и рыбного хозяйства Донецкой Народной Республики привести свои нормативные правовые акты в соответствие с настоящим Постановлением.</w:t>
      </w:r>
    </w:p>
    <w:p w:rsidR="00E53496" w:rsidRDefault="00065445" w:rsidP="00774792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</w:t>
      </w:r>
      <w:r>
        <w:t>ого опубликования.</w:t>
      </w:r>
    </w:p>
    <w:p w:rsidR="00774792" w:rsidRDefault="00774792" w:rsidP="00774792">
      <w:pPr>
        <w:pStyle w:val="22"/>
        <w:shd w:val="clear" w:color="auto" w:fill="auto"/>
        <w:tabs>
          <w:tab w:val="left" w:pos="1088"/>
        </w:tabs>
        <w:spacing w:before="0" w:after="0" w:line="276" w:lineRule="auto"/>
      </w:pPr>
    </w:p>
    <w:p w:rsidR="00774792" w:rsidRDefault="00774792" w:rsidP="00774792">
      <w:pPr>
        <w:pStyle w:val="22"/>
        <w:shd w:val="clear" w:color="auto" w:fill="auto"/>
        <w:tabs>
          <w:tab w:val="left" w:pos="1088"/>
        </w:tabs>
        <w:spacing w:before="0" w:after="0" w:line="276" w:lineRule="auto"/>
      </w:pPr>
    </w:p>
    <w:p w:rsidR="00774792" w:rsidRDefault="00065445" w:rsidP="00774792">
      <w:pPr>
        <w:pStyle w:val="40"/>
        <w:shd w:val="clear" w:color="auto" w:fill="auto"/>
        <w:spacing w:before="0" w:after="0" w:line="280" w:lineRule="exact"/>
      </w:pPr>
      <w:bookmarkStart w:id="4" w:name="bookmark4"/>
      <w:r>
        <w:t>Председатель Правительства</w:t>
      </w:r>
      <w:bookmarkEnd w:id="4"/>
      <w:r w:rsidR="00774792">
        <w:t xml:space="preserve">                                                   </w:t>
      </w:r>
      <w:r w:rsidR="00774792">
        <w:rPr>
          <w:rStyle w:val="4Exact"/>
          <w:b/>
          <w:bCs/>
        </w:rPr>
        <w:t>А. Е. Ананченко</w:t>
      </w:r>
    </w:p>
    <w:p w:rsidR="00E53496" w:rsidRDefault="00774792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  <w:sectPr w:rsidR="00E53496" w:rsidSect="00774792">
          <w:type w:val="continuous"/>
          <w:pgSz w:w="11900" w:h="16840"/>
          <w:pgMar w:top="993" w:right="541" w:bottom="993" w:left="1669" w:header="0" w:footer="3" w:gutter="0"/>
          <w:cols w:space="720"/>
          <w:noEndnote/>
          <w:docGrid w:linePitch="360"/>
        </w:sectPr>
      </w:pPr>
      <w:r>
        <w:t xml:space="preserve"> 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left="5387"/>
      </w:pPr>
      <w:r>
        <w:lastRenderedPageBreak/>
        <w:t>УТВЕРЖДЕНО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left="5387"/>
      </w:pPr>
      <w:r>
        <w:t xml:space="preserve">Постановлением Правительства </w:t>
      </w:r>
      <w:r w:rsidR="00774792">
        <w:br/>
      </w:r>
      <w:r>
        <w:t xml:space="preserve">Донецкой Народной Республики </w:t>
      </w:r>
      <w:r w:rsidR="00774792">
        <w:br/>
      </w:r>
      <w:r>
        <w:t>от 24 апреля 2019 г. № 7-1</w:t>
      </w:r>
    </w:p>
    <w:p w:rsidR="00774792" w:rsidRDefault="00774792" w:rsidP="00774792">
      <w:pPr>
        <w:pStyle w:val="22"/>
        <w:shd w:val="clear" w:color="auto" w:fill="auto"/>
        <w:spacing w:before="0" w:after="0" w:line="276" w:lineRule="auto"/>
      </w:pPr>
    </w:p>
    <w:p w:rsidR="00E53496" w:rsidRDefault="00065445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  <w:bookmarkStart w:id="5" w:name="bookmark5"/>
      <w:r>
        <w:t>ПОРЯДОК</w:t>
      </w:r>
      <w:bookmarkEnd w:id="5"/>
    </w:p>
    <w:p w:rsidR="00E53496" w:rsidRDefault="00065445" w:rsidP="00774792">
      <w:pPr>
        <w:pStyle w:val="40"/>
        <w:shd w:val="clear" w:color="auto" w:fill="auto"/>
        <w:spacing w:before="0" w:after="0" w:line="276" w:lineRule="auto"/>
        <w:ind w:firstLine="1600"/>
      </w:pPr>
      <w:r>
        <w:t xml:space="preserve">оформления, выдачи, регистрации, внесения изменений, </w:t>
      </w:r>
      <w:r>
        <w:t>приостановления действия и аннулирования разрешительных документов</w:t>
      </w:r>
    </w:p>
    <w:p w:rsidR="00E53496" w:rsidRDefault="00065445" w:rsidP="00774792">
      <w:pPr>
        <w:pStyle w:val="40"/>
        <w:shd w:val="clear" w:color="auto" w:fill="auto"/>
        <w:spacing w:before="0" w:after="0" w:line="276" w:lineRule="auto"/>
        <w:jc w:val="center"/>
      </w:pPr>
      <w:r>
        <w:t>на добычу (вылов) водных биоресурсов</w:t>
      </w:r>
    </w:p>
    <w:p w:rsidR="00774792" w:rsidRDefault="00774792" w:rsidP="00774792">
      <w:pPr>
        <w:pStyle w:val="40"/>
        <w:shd w:val="clear" w:color="auto" w:fill="auto"/>
        <w:spacing w:before="0" w:after="0" w:line="276" w:lineRule="auto"/>
        <w:jc w:val="center"/>
      </w:pPr>
    </w:p>
    <w:p w:rsidR="00E53496" w:rsidRDefault="00065445" w:rsidP="00774792">
      <w:pPr>
        <w:pStyle w:val="20"/>
        <w:keepNext/>
        <w:keepLines/>
        <w:numPr>
          <w:ilvl w:val="0"/>
          <w:numId w:val="15"/>
        </w:numPr>
        <w:shd w:val="clear" w:color="auto" w:fill="auto"/>
        <w:spacing w:before="0" w:after="0" w:line="276" w:lineRule="auto"/>
      </w:pPr>
      <w:bookmarkStart w:id="6" w:name="bookmark6"/>
      <w:r>
        <w:t>Общие положения</w:t>
      </w:r>
      <w:bookmarkEnd w:id="6"/>
    </w:p>
    <w:p w:rsidR="00774792" w:rsidRDefault="00774792" w:rsidP="00774792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</w:p>
    <w:p w:rsidR="00E53496" w:rsidRDefault="00065445" w:rsidP="00774792">
      <w:pPr>
        <w:pStyle w:val="22"/>
        <w:numPr>
          <w:ilvl w:val="0"/>
          <w:numId w:val="2"/>
        </w:numPr>
        <w:shd w:val="clear" w:color="auto" w:fill="auto"/>
        <w:tabs>
          <w:tab w:val="left" w:pos="1281"/>
        </w:tabs>
        <w:spacing w:before="0" w:after="0" w:line="276" w:lineRule="auto"/>
        <w:ind w:firstLine="760"/>
      </w:pPr>
      <w:proofErr w:type="gramStart"/>
      <w:r>
        <w:t>Порядок оформления, выдачи, регистрации, внесения изменений, приостановления действия и аннулирования разрешительных документов на до</w:t>
      </w:r>
      <w:r>
        <w:t>бычу (вылов) водных биоресурсов (далее - Порядок) определяет последовательность организации и осуществления действий, связанных с оформлением, выдачей, внесением изменений, приостановлением действия и аннулированием разрешительных документов, предоставляющ</w:t>
      </w:r>
      <w:r>
        <w:t>им юридическим лицам независимо от организационно-правовой формы и формы собственности, а также физическим лицам-предпринимателям, которые зарегистрированы на территории Донецкой Народной Республики в установленном</w:t>
      </w:r>
      <w:proofErr w:type="gramEnd"/>
      <w:r>
        <w:t xml:space="preserve"> </w:t>
      </w:r>
      <w:proofErr w:type="gramStart"/>
      <w:r>
        <w:t>порядке (далее - субъекты хозяйствования)</w:t>
      </w:r>
      <w:r>
        <w:t xml:space="preserve"> право на осуществление добычи (вылова) водных биологических ресурсов (далее - разрешительные документы).</w:t>
      </w:r>
      <w:proofErr w:type="gramEnd"/>
    </w:p>
    <w:p w:rsidR="00E53496" w:rsidRDefault="00065445" w:rsidP="00774792">
      <w:pPr>
        <w:pStyle w:val="22"/>
        <w:numPr>
          <w:ilvl w:val="0"/>
          <w:numId w:val="2"/>
        </w:numPr>
        <w:shd w:val="clear" w:color="auto" w:fill="auto"/>
        <w:tabs>
          <w:tab w:val="left" w:pos="1271"/>
        </w:tabs>
        <w:spacing w:before="0" w:after="0" w:line="276" w:lineRule="auto"/>
        <w:ind w:firstLine="760"/>
      </w:pPr>
      <w:r>
        <w:t>Термины, применяемые в настоящем Порядке, используются в следующих значениях: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 xml:space="preserve">объем изъятия </w:t>
      </w:r>
      <w:r>
        <w:t xml:space="preserve">- количество водных биоресурсов, установленное для добычи </w:t>
      </w:r>
      <w:r>
        <w:t xml:space="preserve">(вылова) во внутренних водных объектах в соответствии с режимом </w:t>
      </w:r>
      <w:proofErr w:type="spellStart"/>
      <w:r>
        <w:t>рыбохозяйственной</w:t>
      </w:r>
      <w:proofErr w:type="spellEnd"/>
      <w:r>
        <w:t xml:space="preserve"> эксплуатации водного объекта.</w:t>
      </w:r>
    </w:p>
    <w:p w:rsidR="00E53496" w:rsidRDefault="00065445" w:rsidP="00774792">
      <w:pPr>
        <w:pStyle w:val="22"/>
        <w:numPr>
          <w:ilvl w:val="0"/>
          <w:numId w:val="2"/>
        </w:numPr>
        <w:shd w:val="clear" w:color="auto" w:fill="auto"/>
        <w:tabs>
          <w:tab w:val="left" w:pos="1281"/>
        </w:tabs>
        <w:spacing w:before="0" w:after="0" w:line="276" w:lineRule="auto"/>
        <w:ind w:firstLine="760"/>
      </w:pPr>
      <w:r>
        <w:t xml:space="preserve">Другие термины, используемые в настоящем Порядке, употребляются в значениях, предусмотренных действующим законодательством Донецкой Народной </w:t>
      </w:r>
      <w:r>
        <w:t>Республики в сфере водного и рыбного хозяйства.</w:t>
      </w:r>
    </w:p>
    <w:p w:rsidR="00E53496" w:rsidRDefault="00065445" w:rsidP="00774792">
      <w:pPr>
        <w:pStyle w:val="22"/>
        <w:numPr>
          <w:ilvl w:val="0"/>
          <w:numId w:val="2"/>
        </w:numPr>
        <w:shd w:val="clear" w:color="auto" w:fill="auto"/>
        <w:tabs>
          <w:tab w:val="left" w:pos="1306"/>
        </w:tabs>
        <w:spacing w:before="0" w:after="0" w:line="276" w:lineRule="auto"/>
        <w:ind w:firstLine="760"/>
      </w:pPr>
      <w:r>
        <w:t>Разрешительные документы выдаются при осуществлении:</w:t>
      </w:r>
    </w:p>
    <w:p w:rsidR="00E53496" w:rsidRDefault="00065445" w:rsidP="00774792">
      <w:pPr>
        <w:pStyle w:val="22"/>
        <w:numPr>
          <w:ilvl w:val="0"/>
          <w:numId w:val="3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</w:pPr>
      <w:r>
        <w:t>Промышленного рыболовства.</w:t>
      </w:r>
    </w:p>
    <w:p w:rsidR="00E53496" w:rsidRDefault="00065445" w:rsidP="00774792">
      <w:pPr>
        <w:pStyle w:val="22"/>
        <w:numPr>
          <w:ilvl w:val="0"/>
          <w:numId w:val="3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</w:pPr>
      <w:r>
        <w:t>Прибрежного (промыслового) рыболовства.</w:t>
      </w:r>
    </w:p>
    <w:p w:rsidR="00E53496" w:rsidRDefault="00065445" w:rsidP="00774792">
      <w:pPr>
        <w:pStyle w:val="22"/>
        <w:numPr>
          <w:ilvl w:val="0"/>
          <w:numId w:val="3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</w:pPr>
      <w:r>
        <w:t>Рыболовства в научно-исследовательских и контрольных целях.</w:t>
      </w:r>
    </w:p>
    <w:p w:rsidR="00E53496" w:rsidRDefault="00065445" w:rsidP="00774792">
      <w:pPr>
        <w:pStyle w:val="22"/>
        <w:numPr>
          <w:ilvl w:val="0"/>
          <w:numId w:val="3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</w:pPr>
      <w:r>
        <w:t>Рыболовства в учебных и куль</w:t>
      </w:r>
      <w:r>
        <w:t>турно-просветительских целях.</w:t>
      </w:r>
    </w:p>
    <w:p w:rsidR="00E53496" w:rsidRDefault="00065445" w:rsidP="00774792">
      <w:pPr>
        <w:pStyle w:val="22"/>
        <w:numPr>
          <w:ilvl w:val="0"/>
          <w:numId w:val="3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  <w:sectPr w:rsidR="00E53496">
          <w:pgSz w:w="11900" w:h="16840"/>
          <w:pgMar w:top="1157" w:right="530" w:bottom="1181" w:left="1665" w:header="0" w:footer="3" w:gutter="0"/>
          <w:cols w:space="720"/>
          <w:noEndnote/>
          <w:docGrid w:linePitch="360"/>
        </w:sectPr>
      </w:pPr>
      <w:r>
        <w:t xml:space="preserve">Рыболовства в целях </w:t>
      </w:r>
      <w:proofErr w:type="spellStart"/>
      <w:r>
        <w:t>аквакультуры</w:t>
      </w:r>
      <w:proofErr w:type="spellEnd"/>
      <w:r>
        <w:t>.</w:t>
      </w:r>
    </w:p>
    <w:p w:rsidR="00E53496" w:rsidRDefault="00065445" w:rsidP="00774792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lastRenderedPageBreak/>
        <w:t>Оформление разрешительных документов для осуществления любительского и спортивного рыболовства производится в соответствии с порядком, который разрабатывается и утверждает</w:t>
      </w:r>
      <w:r>
        <w:t>ся Государственным комитетом водного и рыбного хозяйства Донецкой Народной Республики.</w:t>
      </w:r>
    </w:p>
    <w:p w:rsidR="00E53496" w:rsidRDefault="00065445" w:rsidP="00774792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Выдача разрешительных документов на добычу (вылов) водных биологических ресурсов (далее - водных биоресурсов), внесение в них изменений, приостановление действия и аннул</w:t>
      </w:r>
      <w:r>
        <w:t xml:space="preserve">ирование осуществляются Государственным комитетом водного и рыбного хозяйства Донецкой Народной Республики, на безвозмездной основе, за исключением лицензии на деятельность, связанную с промышленным выловом рыбы, </w:t>
      </w:r>
      <w:proofErr w:type="gramStart"/>
      <w:r>
        <w:t>плата</w:t>
      </w:r>
      <w:proofErr w:type="gramEnd"/>
      <w:r>
        <w:t xml:space="preserve"> за выдачу которой начисляется в соотв</w:t>
      </w:r>
      <w:r>
        <w:t>етствии с действующим законодательством Донецкой Народной Республики.</w:t>
      </w: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E53496" w:rsidRDefault="00065445" w:rsidP="00774792">
      <w:pPr>
        <w:pStyle w:val="40"/>
        <w:numPr>
          <w:ilvl w:val="0"/>
          <w:numId w:val="4"/>
        </w:numPr>
        <w:shd w:val="clear" w:color="auto" w:fill="auto"/>
        <w:tabs>
          <w:tab w:val="left" w:pos="0"/>
        </w:tabs>
        <w:spacing w:before="0" w:after="0" w:line="276" w:lineRule="auto"/>
        <w:jc w:val="center"/>
      </w:pPr>
      <w:r>
        <w:t>Перечень разрешительных документов, предоставляющих право субъектам хозяйствования на осуществление добычи (вылова) водных</w:t>
      </w:r>
    </w:p>
    <w:p w:rsidR="00E53496" w:rsidRDefault="00774792" w:rsidP="00774792">
      <w:pPr>
        <w:pStyle w:val="40"/>
        <w:shd w:val="clear" w:color="auto" w:fill="auto"/>
        <w:spacing w:before="0" w:after="0" w:line="276" w:lineRule="auto"/>
        <w:jc w:val="center"/>
      </w:pPr>
      <w:r>
        <w:t>б</w:t>
      </w:r>
      <w:r w:rsidR="00065445">
        <w:t>иоресурсов</w:t>
      </w:r>
    </w:p>
    <w:p w:rsidR="00774792" w:rsidRDefault="00774792" w:rsidP="00774792">
      <w:pPr>
        <w:pStyle w:val="40"/>
        <w:shd w:val="clear" w:color="auto" w:fill="auto"/>
        <w:spacing w:before="0" w:after="0" w:line="276" w:lineRule="auto"/>
        <w:jc w:val="center"/>
      </w:pPr>
    </w:p>
    <w:p w:rsidR="00774792" w:rsidRDefault="00774792" w:rsidP="00774792">
      <w:pPr>
        <w:pStyle w:val="40"/>
        <w:shd w:val="clear" w:color="auto" w:fill="auto"/>
        <w:spacing w:before="0" w:after="0" w:line="276" w:lineRule="auto"/>
        <w:jc w:val="center"/>
      </w:pPr>
    </w:p>
    <w:p w:rsidR="00E53496" w:rsidRDefault="00065445" w:rsidP="00774792">
      <w:pPr>
        <w:pStyle w:val="22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Государственный комитет водного и рыбного хозяйства</w:t>
      </w:r>
      <w:r>
        <w:t xml:space="preserve"> Донецкой Народной Республики, осуществляет выдачу субъектам хозяйствования следующих разрешительных документов:</w:t>
      </w:r>
    </w:p>
    <w:p w:rsidR="00E53496" w:rsidRDefault="00065445" w:rsidP="00774792">
      <w:pPr>
        <w:pStyle w:val="22"/>
        <w:numPr>
          <w:ilvl w:val="0"/>
          <w:numId w:val="6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Разрешения на специальное пользование водными биоресурсами (далее - Разрешение) согласно Приложению 1 к настоящему Порядку.</w:t>
      </w:r>
    </w:p>
    <w:p w:rsidR="00E53496" w:rsidRDefault="00065445" w:rsidP="00774792">
      <w:pPr>
        <w:pStyle w:val="22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Талона на вылов вод</w:t>
      </w:r>
      <w:r>
        <w:t>ных биоресурсов (далее - Талон) согласно Приложению 2 к настоящему Порядку.</w:t>
      </w:r>
    </w:p>
    <w:p w:rsidR="00E53496" w:rsidRDefault="00065445" w:rsidP="00774792">
      <w:pPr>
        <w:pStyle w:val="22"/>
        <w:numPr>
          <w:ilvl w:val="1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При осуществлении промышленного рыболовства оформляется Разрешение и лицензия на деятельность, связанную с промышленным выловом рыбы. Выдача лицензии регламентируется действующим з</w:t>
      </w:r>
      <w:r>
        <w:t>аконодательством Донецкой Народной Республики о лицензировании.</w:t>
      </w:r>
    </w:p>
    <w:p w:rsidR="00E53496" w:rsidRDefault="00065445" w:rsidP="00774792">
      <w:pPr>
        <w:pStyle w:val="22"/>
        <w:numPr>
          <w:ilvl w:val="1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Разрешительные документы, выданные субъектам хозяйствования, осуществляющим добычу (вылов) водных биоресурсов в акватории Азовского моря являются действительными:</w:t>
      </w:r>
    </w:p>
    <w:p w:rsidR="00E53496" w:rsidRDefault="00065445" w:rsidP="00774792">
      <w:pPr>
        <w:pStyle w:val="22"/>
        <w:numPr>
          <w:ilvl w:val="2"/>
          <w:numId w:val="6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 xml:space="preserve">Разрешение - </w:t>
      </w:r>
      <w:proofErr w:type="gramStart"/>
      <w:r>
        <w:t>с даты</w:t>
      </w:r>
      <w:proofErr w:type="gramEnd"/>
      <w:r>
        <w:t xml:space="preserve"> его выдач</w:t>
      </w:r>
      <w:r>
        <w:t>и субъекту хозяйствования до окончания календарного года или на срок проведения работ в научно</w:t>
      </w:r>
      <w:r w:rsidR="00774792">
        <w:t>-</w:t>
      </w:r>
      <w:r>
        <w:t xml:space="preserve">исследовательских и контрольных целях, в учебных и культурно- просветительских целях, а также в целях </w:t>
      </w:r>
      <w:proofErr w:type="spellStart"/>
      <w:r>
        <w:t>аквакультуры</w:t>
      </w:r>
      <w:proofErr w:type="spellEnd"/>
      <w:r>
        <w:t>.</w:t>
      </w:r>
    </w:p>
    <w:p w:rsidR="00E53496" w:rsidRDefault="00065445" w:rsidP="00774792">
      <w:pPr>
        <w:pStyle w:val="22"/>
        <w:numPr>
          <w:ilvl w:val="2"/>
          <w:numId w:val="6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proofErr w:type="gramStart"/>
      <w:r>
        <w:t>Талон - с даты его выдачи субъекту хозяйствова</w:t>
      </w:r>
      <w:r>
        <w:t xml:space="preserve">ния до окончания календарного года или на срок проведения работ в научно-исследовательских и контрольных целях, в учебных и культурно-просветительских целях, а также в </w:t>
      </w:r>
      <w:r>
        <w:lastRenderedPageBreak/>
        <w:t xml:space="preserve">целях </w:t>
      </w:r>
      <w:proofErr w:type="spellStart"/>
      <w:r>
        <w:t>аквакультуры</w:t>
      </w:r>
      <w:proofErr w:type="spellEnd"/>
      <w:r>
        <w:t>, но не более срока действия акта технического освидетельствования мал</w:t>
      </w:r>
      <w:r>
        <w:t xml:space="preserve">омерного судна (далее - </w:t>
      </w:r>
      <w:proofErr w:type="spellStart"/>
      <w:r>
        <w:t>плавсредство</w:t>
      </w:r>
      <w:proofErr w:type="spellEnd"/>
      <w:r>
        <w:t xml:space="preserve">) и договора фрахтования данного </w:t>
      </w:r>
      <w:proofErr w:type="spellStart"/>
      <w:r>
        <w:t>плавсредства</w:t>
      </w:r>
      <w:proofErr w:type="spellEnd"/>
      <w:r>
        <w:t xml:space="preserve"> (при его заключении).</w:t>
      </w:r>
      <w:proofErr w:type="gramEnd"/>
    </w:p>
    <w:p w:rsidR="00E53496" w:rsidRDefault="00065445" w:rsidP="00774792">
      <w:pPr>
        <w:pStyle w:val="22"/>
        <w:numPr>
          <w:ilvl w:val="1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Разрешительные документы, выданные субъектам хозяйствования, осуществляющим добычу (вылов) водных биоресурсов во внутренних водных объектах являются дей</w:t>
      </w:r>
      <w:r>
        <w:t>ствительными:</w:t>
      </w:r>
    </w:p>
    <w:p w:rsidR="00E53496" w:rsidRDefault="00065445" w:rsidP="00774792">
      <w:pPr>
        <w:pStyle w:val="22"/>
        <w:numPr>
          <w:ilvl w:val="2"/>
          <w:numId w:val="6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 xml:space="preserve">Разрешение - </w:t>
      </w:r>
      <w:proofErr w:type="gramStart"/>
      <w:r>
        <w:t>с даты</w:t>
      </w:r>
      <w:proofErr w:type="gramEnd"/>
      <w:r>
        <w:t xml:space="preserve"> его выдачи субъекту хозяйствования до окончания срока действия режима </w:t>
      </w:r>
      <w:proofErr w:type="spellStart"/>
      <w:r>
        <w:t>рыбохозяйственной</w:t>
      </w:r>
      <w:proofErr w:type="spellEnd"/>
      <w:r>
        <w:t xml:space="preserve"> эксплуатации водного объекта, или на срок проведения работ в научно-исследовательских и контрольных целях, в учебных и </w:t>
      </w:r>
      <w:r>
        <w:t xml:space="preserve">культурно-просветительских целях, а также в целях </w:t>
      </w:r>
      <w:proofErr w:type="spellStart"/>
      <w:r>
        <w:t>аквакультуры</w:t>
      </w:r>
      <w:proofErr w:type="spellEnd"/>
      <w:r>
        <w:t>.</w:t>
      </w:r>
    </w:p>
    <w:p w:rsidR="00E53496" w:rsidRDefault="00065445" w:rsidP="00774792">
      <w:pPr>
        <w:pStyle w:val="22"/>
        <w:numPr>
          <w:ilvl w:val="2"/>
          <w:numId w:val="6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proofErr w:type="gramStart"/>
      <w:r>
        <w:t xml:space="preserve">Талон - с даты его выдачи субъекту хозяйствования до окончания срока действия режима </w:t>
      </w:r>
      <w:proofErr w:type="spellStart"/>
      <w:r>
        <w:t>рыбохозяйственной</w:t>
      </w:r>
      <w:proofErr w:type="spellEnd"/>
      <w:r>
        <w:t xml:space="preserve"> эксплуатации водного объекта или на срок проведения работ в научно-исследовательских и ко</w:t>
      </w:r>
      <w:r>
        <w:t xml:space="preserve">нтрольных целях, в учебных и культурно-просветительских целях, а также в целях </w:t>
      </w:r>
      <w:proofErr w:type="spellStart"/>
      <w:r>
        <w:t>аквакультуры</w:t>
      </w:r>
      <w:proofErr w:type="spellEnd"/>
      <w:r>
        <w:t xml:space="preserve">, но не более срока действия акта технического освидетельствования маломерного судна или договора фрахтования данного </w:t>
      </w:r>
      <w:proofErr w:type="spellStart"/>
      <w:r>
        <w:t>плавсредства</w:t>
      </w:r>
      <w:proofErr w:type="spellEnd"/>
      <w:r>
        <w:t xml:space="preserve"> (при его заключении).</w:t>
      </w:r>
      <w:proofErr w:type="gramEnd"/>
    </w:p>
    <w:p w:rsidR="00E53496" w:rsidRDefault="00065445" w:rsidP="00774792">
      <w:pPr>
        <w:pStyle w:val="22"/>
        <w:numPr>
          <w:ilvl w:val="1"/>
          <w:numId w:val="6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Разрешительн</w:t>
      </w:r>
      <w:r>
        <w:t>ые документы, выданные субъекту хозяйствования, проходят регистрацию в Журнале оформления разрешительных документов на добычу (вылов) водных биоресурсов (далее - Журнал), ведение которого осуществляет Государственный комитет водного и рыбного хозяйства Дон</w:t>
      </w:r>
      <w:r>
        <w:t xml:space="preserve">ецкой Народной Республики </w:t>
      </w:r>
      <w:proofErr w:type="gramStart"/>
      <w:r>
        <w:t>согласно Приложения</w:t>
      </w:r>
      <w:proofErr w:type="gramEnd"/>
      <w:r>
        <w:t xml:space="preserve"> 3 к настоящему Порядку.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firstLine="740"/>
      </w:pPr>
      <w:r>
        <w:t>Журнал должен быть пронумерован, прошит, и скреплен печатью Государственного комитета водного и рыбного хозяйства Донецкой Народной Республики.</w:t>
      </w:r>
    </w:p>
    <w:p w:rsidR="00E53496" w:rsidRDefault="00065445" w:rsidP="00774792">
      <w:pPr>
        <w:pStyle w:val="22"/>
        <w:numPr>
          <w:ilvl w:val="1"/>
          <w:numId w:val="6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Разрешительные документы подписываются рук</w:t>
      </w:r>
      <w:r>
        <w:t>оводителем Государственного комитета водного и рыбного хозяйства Донецкой Народной Республики и заверяются его печатью.</w:t>
      </w:r>
    </w:p>
    <w:p w:rsidR="00E53496" w:rsidRDefault="00065445" w:rsidP="00774792">
      <w:pPr>
        <w:pStyle w:val="22"/>
        <w:numPr>
          <w:ilvl w:val="1"/>
          <w:numId w:val="6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До истечения срока действия разрешительных документов в Государственном комитете водного и рыбного хозяйства Донецкой Народной Республик</w:t>
      </w:r>
      <w:r>
        <w:t>и, сохраняются их копии.</w:t>
      </w: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E53496" w:rsidRDefault="00065445" w:rsidP="00774792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-709"/>
        </w:tabs>
        <w:spacing w:before="0" w:after="0" w:line="276" w:lineRule="auto"/>
        <w:ind w:firstLine="0"/>
      </w:pPr>
      <w:bookmarkStart w:id="7" w:name="bookmark7"/>
      <w:r>
        <w:t>Порядок оформления разрешительных документов</w:t>
      </w:r>
      <w:bookmarkEnd w:id="7"/>
    </w:p>
    <w:p w:rsidR="00774792" w:rsidRDefault="00774792" w:rsidP="00774792">
      <w:pPr>
        <w:pStyle w:val="20"/>
        <w:keepNext/>
        <w:keepLines/>
        <w:shd w:val="clear" w:color="auto" w:fill="auto"/>
        <w:tabs>
          <w:tab w:val="left" w:pos="1859"/>
        </w:tabs>
        <w:spacing w:before="0" w:after="0" w:line="276" w:lineRule="auto"/>
        <w:ind w:firstLine="0"/>
        <w:jc w:val="both"/>
      </w:pPr>
    </w:p>
    <w:p w:rsidR="00E53496" w:rsidRDefault="00065445" w:rsidP="00774792">
      <w:pPr>
        <w:pStyle w:val="22"/>
        <w:numPr>
          <w:ilvl w:val="0"/>
          <w:numId w:val="7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</w:pPr>
      <w:r>
        <w:t xml:space="preserve">Для получения Разрешения субъекту хозяйствования необходимо предоставить в Государственный комитет водного и рыбного хозяйства Донецкой Народной Республики Заявление на оформление </w:t>
      </w:r>
      <w:r>
        <w:t>Разрешения на специальное пользование водными биоресурсами согласно Приложению 4 к настоящему Порядку и следующие документы:</w:t>
      </w:r>
    </w:p>
    <w:p w:rsidR="00E53496" w:rsidRDefault="00065445" w:rsidP="00774792">
      <w:pPr>
        <w:pStyle w:val="22"/>
        <w:numPr>
          <w:ilvl w:val="0"/>
          <w:numId w:val="8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lastRenderedPageBreak/>
        <w:t>Копия Свидетельства о государственной регистрации субъекта хозяйствования или справка (выписка) из Единого государственного реестра</w:t>
      </w:r>
      <w:r>
        <w:t xml:space="preserve"> юридических лиц и физических лиц-предпринимателей Донецкой Народной Республики (с предъявлением подлинника для сличения).</w:t>
      </w:r>
    </w:p>
    <w:p w:rsidR="00E53496" w:rsidRDefault="00065445" w:rsidP="00774792">
      <w:pPr>
        <w:pStyle w:val="22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proofErr w:type="gramStart"/>
      <w:r>
        <w:t>Копия паспорта и справки о присвоении идентификационного номера физического лица-плательщика налогов и других обязательных платежей л</w:t>
      </w:r>
      <w:r>
        <w:t>ибо карточка налогоплательщика о присвоении регистрационного номера учетной карточки налогоплательщика - физического лица или справка (отметка в паспорте) о праве осуществлять любые платежи по серии и номеру паспорта в случае отказа от принятия регистрацио</w:t>
      </w:r>
      <w:r>
        <w:t>нного номера учетной карточки налогоплательщика физическим лицом из-за своих религиозных убеждений - для физического</w:t>
      </w:r>
      <w:proofErr w:type="gramEnd"/>
      <w:r>
        <w:t xml:space="preserve"> лица-предпринимателя (с предъявлением подлинников для сличения).</w:t>
      </w:r>
    </w:p>
    <w:p w:rsidR="00E53496" w:rsidRDefault="00065445" w:rsidP="00774792">
      <w:pPr>
        <w:pStyle w:val="22"/>
        <w:numPr>
          <w:ilvl w:val="0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Копия Справки из Реестра статистических единиц (с предъявлением подлинника</w:t>
      </w:r>
      <w:r>
        <w:t xml:space="preserve"> для сличения).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proofErr w:type="gramStart"/>
      <w:r>
        <w:t>Субъект хозяйствования, который получил Разрешение и квоту на добычу (вылов) водных биоресурсов, планирует осуществлять рыболовство прибрежное (промысловое), в научно-исследовательских и контрольных целях, в учебных и культурно-просветитель</w:t>
      </w:r>
      <w:r>
        <w:t xml:space="preserve">ских целях или в целях </w:t>
      </w:r>
      <w:proofErr w:type="spellStart"/>
      <w:r>
        <w:t>аквакультуры</w:t>
      </w:r>
      <w:proofErr w:type="spellEnd"/>
      <w:r>
        <w:t xml:space="preserve"> в акватории Азовского моря и внутренних водных объектах, для оформления Талона подает в Государственный комитет водного и рыбного хозяйства Донецкой Народной Республики Заявление на оформление Талона на добычу (вылов</w:t>
      </w:r>
      <w:proofErr w:type="gramEnd"/>
      <w:r>
        <w:t>) во</w:t>
      </w:r>
      <w:r>
        <w:t>дных биоресурсов согласно Приложению 5 к настоящему Порядку и следующие документы: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 xml:space="preserve">Копию Судового билета, копию акта технического освидетельствования (первичного, ежегодного, внепланового) маломерного судна, копию договора фрахтования данного </w:t>
      </w:r>
      <w:proofErr w:type="spellStart"/>
      <w:r>
        <w:t>плавсредства</w:t>
      </w:r>
      <w:proofErr w:type="spellEnd"/>
      <w:r>
        <w:t xml:space="preserve"> </w:t>
      </w:r>
      <w:r>
        <w:t xml:space="preserve">или нотариально заверенную доверенность в случае, если заявитель не является его собственником (на каждое </w:t>
      </w:r>
      <w:proofErr w:type="spellStart"/>
      <w:r>
        <w:t>плавсредство</w:t>
      </w:r>
      <w:proofErr w:type="spellEnd"/>
      <w:r>
        <w:t>, на котором будет производиться добыча (вылов) водных биоресурсов) (с предъявлением подлинников для сличения).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65"/>
        </w:tabs>
        <w:spacing w:before="0" w:after="0" w:line="276" w:lineRule="auto"/>
        <w:ind w:firstLine="740"/>
      </w:pPr>
      <w:r>
        <w:t>Пронумерованный и прошитый</w:t>
      </w:r>
      <w:r>
        <w:t xml:space="preserve"> Промысловый журнал (в котором ведется учёт изъятых водных биоресурсов) на каждое </w:t>
      </w:r>
      <w:proofErr w:type="spellStart"/>
      <w:r>
        <w:t>плавсредство</w:t>
      </w:r>
      <w:proofErr w:type="spellEnd"/>
      <w:r>
        <w:t xml:space="preserve"> субъекта хозяйствования согласно Приложению 6 к настоящему Порядку.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 xml:space="preserve">Пронумерованный и прошитый Журнал учета принятых водных биоресурсов согласно Приложению 7 к </w:t>
      </w:r>
      <w:r>
        <w:t>настоящему Порядку.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65"/>
        </w:tabs>
        <w:spacing w:before="0" w:after="0" w:line="276" w:lineRule="auto"/>
        <w:ind w:firstLine="740"/>
      </w:pPr>
      <w:r>
        <w:t>Справку для получения разрешительных документов согласно Приложению 8 к настоящему Порядку.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Субъект хозяйствования, осуществляющий </w:t>
      </w:r>
      <w:proofErr w:type="spellStart"/>
      <w:r>
        <w:t>рыбохозяйственную</w:t>
      </w:r>
      <w:proofErr w:type="spellEnd"/>
      <w:r>
        <w:t xml:space="preserve"> </w:t>
      </w:r>
      <w:r>
        <w:lastRenderedPageBreak/>
        <w:t>деятельность на внутренних водных объектах в соответствии со статьей 4</w:t>
      </w:r>
      <w:r>
        <w:rPr>
          <w:vertAlign w:val="superscript"/>
        </w:rPr>
        <w:t xml:space="preserve">1 </w:t>
      </w:r>
      <w:r>
        <w:t>Закона Донецкой</w:t>
      </w:r>
      <w:r>
        <w:t xml:space="preserve"> Народной Республики «О рыболовстве и сохранении водных биологических ресурсов» от 23 июня 2017 года № </w:t>
      </w:r>
      <w:r w:rsidRPr="00774792">
        <w:rPr>
          <w:lang w:eastAsia="en-US" w:bidi="en-US"/>
        </w:rPr>
        <w:t>185-</w:t>
      </w:r>
      <w:r>
        <w:rPr>
          <w:lang w:val="en-US" w:eastAsia="en-US" w:bidi="en-US"/>
        </w:rPr>
        <w:t>IHC</w:t>
      </w:r>
      <w:r w:rsidRPr="00774792">
        <w:rPr>
          <w:lang w:eastAsia="en-US" w:bidi="en-US"/>
        </w:rPr>
        <w:t xml:space="preserve"> </w:t>
      </w:r>
      <w:r>
        <w:t>(далее - Закон), для осуществления прибрежного (промыслового) рыболовства на внутренних водных объектах обязан оформить Талон.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firstLine="740"/>
      </w:pPr>
      <w:r>
        <w:t>Для оформления Тал</w:t>
      </w:r>
      <w:r>
        <w:t>она, кроме документов, перечисленных в пункте 3.2. настоящего Порядка, субъект хозяйствования подает в Государственный комитет водного и рыбного хозяйства Донецкой Народной Республики: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 xml:space="preserve">Копию Режима </w:t>
      </w:r>
      <w:proofErr w:type="spellStart"/>
      <w:r>
        <w:t>рыбохозяйственной</w:t>
      </w:r>
      <w:proofErr w:type="spellEnd"/>
      <w:r>
        <w:t xml:space="preserve"> эксплуатации соответствующего водного об</w:t>
      </w:r>
      <w:r>
        <w:t>ъекта (с предъявлением подлинника для сличения).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Копию Договора предоставления водных объектов общегосударственного значения во временное пользование на условиях аренды или иной правоустанавливающий документ, подтверждающий право пользования водным объекто</w:t>
      </w:r>
      <w:r>
        <w:t>м, на котором будет осуществляться добыча (вылов) водных биоресурсов (с предъявлением подлинника для сличения).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Выдача Разрешения и /или Талона осуществляется Государственным комитетом водного и рыбного хозяйства Донецкой Народной Республики на основании з</w:t>
      </w:r>
      <w:r>
        <w:t>аявления на оформление Разрешения на специальное пользование водными биоресурсами и /или заявления на оформление Талона на добычу (вылов) водных биоресурсов от субъекта хозяйствования, в течение 10 (десяти) рабочих дней с даты их подачи.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Основаниями для </w:t>
      </w:r>
      <w:r>
        <w:t>выдачи дубликата разрешительных документов являются: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Утрата (утеря, уничтожение) разрешительных документов.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>Хищение разрешительных документов (при предоставлении субъектом хозяйствования документа о регистрации данного факта в правоохранительных органах До</w:t>
      </w:r>
      <w:r>
        <w:t>нецкой Народной Республики для подтверждения данного факта).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>Повреждение разрешительного документа, в результате которого данный документ пришел в негодность.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>Субъект хозяйствования, у которого возникли основания для выдачи дубликата разрешительного докуме</w:t>
      </w:r>
      <w:r>
        <w:t>нта, подаёт в Государственный комитет водного и рыбного хозяйства Донецкой Народной Республики заявление о выдаче дубликата разрешительного документа.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firstLine="740"/>
      </w:pPr>
      <w:r>
        <w:t>Заявление подается субъектом хозяйствования в письменной форме.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Государственный комитет водного и рыбного</w:t>
      </w:r>
      <w:r>
        <w:t xml:space="preserve"> хозяйства Донецкой Народной Республики, в течение 10 (десяти) рабочих дней </w:t>
      </w:r>
      <w:proofErr w:type="gramStart"/>
      <w:r>
        <w:t>с даты подачи</w:t>
      </w:r>
      <w:proofErr w:type="gramEnd"/>
      <w:r>
        <w:t xml:space="preserve"> субъектом хозяйствования заявления о выдаче дубликата разрешительного </w:t>
      </w:r>
      <w:r>
        <w:lastRenderedPageBreak/>
        <w:t>документа, осуществляет выдачу дубликата разрешительного документа на безвозмездной основе.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Осно</w:t>
      </w:r>
      <w:r>
        <w:t>ваниями для отказа в выдаче разрешительных документов являются: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Предоставление субъектом хозяйствования неполного пакета документов, установленных пунктами 3.1 - 3.5. настоящего Порядка.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 xml:space="preserve">Выявление в документах, поданных субъектом хозяйствования, </w:t>
      </w:r>
      <w:r>
        <w:t>недостоверных сведений.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Отсутствие в справке о внесении в Реестр статистических единиц соответствующего вида осуществляемой деятельности согласно КВЭД-2010;</w:t>
      </w:r>
    </w:p>
    <w:p w:rsidR="00E53496" w:rsidRDefault="00065445" w:rsidP="00774792">
      <w:pPr>
        <w:pStyle w:val="22"/>
        <w:numPr>
          <w:ilvl w:val="2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proofErr w:type="gramStart"/>
      <w:r>
        <w:t>Наличие на дату подачи заявления неуплаченных субъектом хозяйствования штрафов и (или) неурегулиров</w:t>
      </w:r>
      <w:r>
        <w:t>анной задолженности по возмещению им в установленном законодательством Донецкой Народной Республики порядке ущерба, причиненного водным биоресурсам в связи с нарушением законодательства Донецкой Народной Республики в сфере рыболовства и сохранения водных б</w:t>
      </w:r>
      <w:r>
        <w:t>иоресурсов, установленных вступившим в законную силу постановлением по делу об административном правонарушении или решением суда.</w:t>
      </w:r>
      <w:proofErr w:type="gramEnd"/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proofErr w:type="gramStart"/>
      <w:r>
        <w:t>В случае отказа в выдаче разрешительных документов, Государственный комитет водного и рыбного хозяйства Донецкой Народной Респ</w:t>
      </w:r>
      <w:r>
        <w:t xml:space="preserve">ублики, в течение 10 (десяти) рабочих дней с даты подачи субъектом хозяйствования заявления на оформление Разрешения на специальное пользование водными биоресурсами и /или заявления на оформление Талона на добычу (вылов) водных биоресурсов, направляет ему </w:t>
      </w:r>
      <w:r>
        <w:t>письменное уведомление с указанием оснований для такого отказа.</w:t>
      </w:r>
      <w:proofErr w:type="gramEnd"/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396"/>
        </w:tabs>
        <w:spacing w:before="0" w:after="0" w:line="276" w:lineRule="auto"/>
        <w:ind w:firstLine="740"/>
      </w:pPr>
      <w:r>
        <w:t>Субъект хозяйствования имеет право повторно обратиться в Государственный комитет водного и рыбного хозяйства Донецкой Народной Республики для получения разрешительных документов согласно пункт</w:t>
      </w:r>
      <w:r>
        <w:t>ам 3.1. -3.5. настоящего Порядка.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396"/>
        </w:tabs>
        <w:spacing w:before="0" w:after="0" w:line="276" w:lineRule="auto"/>
        <w:ind w:firstLine="740"/>
      </w:pPr>
      <w:r>
        <w:t>Разрешительные документы выдаются субъекту хозяйствования под подпись в Журнале оформления разрешительных документов.</w:t>
      </w:r>
    </w:p>
    <w:p w:rsidR="00E53496" w:rsidRDefault="00065445" w:rsidP="00774792">
      <w:pPr>
        <w:pStyle w:val="22"/>
        <w:numPr>
          <w:ilvl w:val="1"/>
          <w:numId w:val="8"/>
        </w:numPr>
        <w:shd w:val="clear" w:color="auto" w:fill="auto"/>
        <w:tabs>
          <w:tab w:val="left" w:pos="1396"/>
        </w:tabs>
        <w:spacing w:before="0" w:after="0" w:line="276" w:lineRule="auto"/>
        <w:ind w:firstLine="740"/>
      </w:pPr>
      <w:r>
        <w:t xml:space="preserve">Данные о выданных субъекту хозяйствования разрешительных документах вносятся в Государственный </w:t>
      </w:r>
      <w:proofErr w:type="spellStart"/>
      <w:r>
        <w:t>рыбохозяй</w:t>
      </w:r>
      <w:r>
        <w:t>ственный</w:t>
      </w:r>
      <w:proofErr w:type="spellEnd"/>
      <w:r>
        <w:t xml:space="preserve"> реестр Донецкой Народной Республики.</w:t>
      </w:r>
    </w:p>
    <w:p w:rsidR="00774792" w:rsidRDefault="00774792" w:rsidP="00774792">
      <w:pPr>
        <w:pStyle w:val="22"/>
        <w:shd w:val="clear" w:color="auto" w:fill="auto"/>
        <w:tabs>
          <w:tab w:val="left" w:pos="1396"/>
        </w:tabs>
        <w:spacing w:before="0" w:after="0" w:line="276" w:lineRule="auto"/>
      </w:pPr>
    </w:p>
    <w:p w:rsidR="00E53496" w:rsidRDefault="00065445" w:rsidP="00774792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284"/>
        </w:tabs>
        <w:spacing w:before="0" w:after="0" w:line="276" w:lineRule="auto"/>
        <w:ind w:right="1380" w:firstLine="0"/>
      </w:pPr>
      <w:bookmarkStart w:id="8" w:name="bookmark8"/>
      <w:r>
        <w:t>Внесение изменений в разрешительные документы на добычу (вылов) водных биоресурсов</w:t>
      </w:r>
      <w:bookmarkEnd w:id="8"/>
    </w:p>
    <w:p w:rsidR="00774792" w:rsidRDefault="00774792" w:rsidP="00774792">
      <w:pPr>
        <w:pStyle w:val="20"/>
        <w:keepNext/>
        <w:keepLines/>
        <w:shd w:val="clear" w:color="auto" w:fill="auto"/>
        <w:tabs>
          <w:tab w:val="left" w:pos="1860"/>
        </w:tabs>
        <w:spacing w:before="0" w:after="0" w:line="276" w:lineRule="auto"/>
        <w:ind w:right="1380" w:firstLine="0"/>
        <w:jc w:val="left"/>
      </w:pPr>
    </w:p>
    <w:p w:rsidR="00E53496" w:rsidRDefault="00065445" w:rsidP="00774792">
      <w:pPr>
        <w:pStyle w:val="22"/>
        <w:numPr>
          <w:ilvl w:val="0"/>
          <w:numId w:val="9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Субъект хозяйствования, у которого возникли основания для </w:t>
      </w:r>
      <w:r>
        <w:lastRenderedPageBreak/>
        <w:t xml:space="preserve">внесения изменений в разрешительные документы, подаёт в </w:t>
      </w:r>
      <w:r>
        <w:t>Государственный комитет водного и рыбного хозяйства Донецкой Народной Республики:</w:t>
      </w:r>
    </w:p>
    <w:p w:rsidR="00E53496" w:rsidRDefault="00065445" w:rsidP="00774792">
      <w:pPr>
        <w:pStyle w:val="22"/>
        <w:numPr>
          <w:ilvl w:val="0"/>
          <w:numId w:val="10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Заявление о внесении изменений в разрешительный документ.</w:t>
      </w:r>
    </w:p>
    <w:p w:rsidR="00E53496" w:rsidRDefault="00065445" w:rsidP="00774792">
      <w:pPr>
        <w:pStyle w:val="22"/>
        <w:numPr>
          <w:ilvl w:val="0"/>
          <w:numId w:val="10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Разрешительный документ, в который вносятся изменения.</w:t>
      </w:r>
    </w:p>
    <w:p w:rsidR="00E53496" w:rsidRDefault="00065445" w:rsidP="00774792">
      <w:pPr>
        <w:pStyle w:val="22"/>
        <w:numPr>
          <w:ilvl w:val="0"/>
          <w:numId w:val="10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Документ, подтверждающий указанные в заявлении изменения.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firstLine="740"/>
      </w:pPr>
      <w:r>
        <w:t>Зая</w:t>
      </w:r>
      <w:r>
        <w:t>вление о внесении изменений в разрешительные документы подается субъектом хозяйствования в письменной форме.</w:t>
      </w:r>
    </w:p>
    <w:p w:rsidR="00E53496" w:rsidRDefault="00065445" w:rsidP="00774792">
      <w:pPr>
        <w:pStyle w:val="22"/>
        <w:numPr>
          <w:ilvl w:val="0"/>
          <w:numId w:val="9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proofErr w:type="gramStart"/>
      <w:r>
        <w:t>Государственный комитет водного и рыбного хозяйства Донецкой Народной Республики, вносит изменения непосредственно в подлинник разрешительных докум</w:t>
      </w:r>
      <w:r>
        <w:t>ентов на добычу (вылов) водных биоресурсов или посредством телеграфной, электронной и иной связи в случаях, предусмотренных частью 3 статьи 33 Закона в срок, не превышающий 10 (десяти) рабочих дней с даты получения от субъекта хозяйствования заявления о вн</w:t>
      </w:r>
      <w:r>
        <w:t>есении изменений в разрешительный документ.</w:t>
      </w:r>
      <w:proofErr w:type="gramEnd"/>
      <w:r>
        <w:t xml:space="preserve"> Внесение изменений в оригинал разрешительного документа осуществляется путем дописки или зачеркивания в соответствующей графе с отметкой о внесении изменений и указанием даты за подписью руководителя Государствен</w:t>
      </w:r>
      <w:r>
        <w:t>ного комитета водного и рыбного хозяйства Донецкой Народной Республики заверенной печатью.</w:t>
      </w:r>
    </w:p>
    <w:p w:rsidR="00E53496" w:rsidRDefault="00065445" w:rsidP="00774792">
      <w:pPr>
        <w:pStyle w:val="22"/>
        <w:numPr>
          <w:ilvl w:val="0"/>
          <w:numId w:val="9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Основанием для отказа о внесении изменений в разрешительные документы является наличие в поданных документах недостоверной или неполной информации.</w:t>
      </w:r>
    </w:p>
    <w:p w:rsidR="00774792" w:rsidRDefault="00774792" w:rsidP="00774792">
      <w:pPr>
        <w:pStyle w:val="22"/>
        <w:shd w:val="clear" w:color="auto" w:fill="auto"/>
        <w:tabs>
          <w:tab w:val="left" w:pos="1239"/>
        </w:tabs>
        <w:spacing w:before="0" w:after="0" w:line="276" w:lineRule="auto"/>
      </w:pPr>
    </w:p>
    <w:p w:rsidR="00E53496" w:rsidRDefault="00065445" w:rsidP="00774792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before="0" w:after="0" w:line="276" w:lineRule="auto"/>
        <w:ind w:firstLine="0"/>
      </w:pPr>
      <w:bookmarkStart w:id="9" w:name="bookmark9"/>
      <w:r>
        <w:t xml:space="preserve">Приостановление </w:t>
      </w:r>
      <w:r>
        <w:t>действия и аннулирование разрешительных документов на добычу (вылов) водных биоресурсов</w:t>
      </w:r>
      <w:bookmarkEnd w:id="9"/>
    </w:p>
    <w:p w:rsidR="00774792" w:rsidRDefault="00774792" w:rsidP="00774792">
      <w:pPr>
        <w:pStyle w:val="20"/>
        <w:keepNext/>
        <w:keepLines/>
        <w:shd w:val="clear" w:color="auto" w:fill="auto"/>
        <w:tabs>
          <w:tab w:val="left" w:pos="1200"/>
        </w:tabs>
        <w:spacing w:before="0" w:after="0" w:line="276" w:lineRule="auto"/>
        <w:ind w:firstLine="0"/>
        <w:jc w:val="left"/>
      </w:pPr>
    </w:p>
    <w:p w:rsidR="00E53496" w:rsidRDefault="00065445" w:rsidP="00774792">
      <w:pPr>
        <w:pStyle w:val="22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Разрешительные документы могут быть аннулированы до истечения установленного срока их действия или действие разрешительных документов может быть приостановлено Государс</w:t>
      </w:r>
      <w:r>
        <w:t>твенным комитетом водного и рыбного хозяйства Донецкой Народной Республики самостоятельно или по представлению Генеральной прокуратуры Донецкой Народной Республики.</w:t>
      </w:r>
    </w:p>
    <w:p w:rsidR="00E53496" w:rsidRDefault="00065445" w:rsidP="00774792">
      <w:pPr>
        <w:pStyle w:val="22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Действие разрешительных документов приостанавливается в случае наличия следующих оснований </w:t>
      </w:r>
      <w:r>
        <w:t>для прекращения права на добычу (вылов) водных биоресурсов, предусмотренных пунктами 2 и 3 части 1 и пунктом 2 части 2 статьи 13 Закона:</w:t>
      </w:r>
    </w:p>
    <w:p w:rsidR="00E53496" w:rsidRDefault="00065445" w:rsidP="00774792">
      <w:pPr>
        <w:pStyle w:val="22"/>
        <w:numPr>
          <w:ilvl w:val="0"/>
          <w:numId w:val="12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По соглашению между пользователем и органом исполнительной власти, реализующим государственную политику в сфере водного</w:t>
      </w:r>
      <w:r>
        <w:t xml:space="preserve"> и рыбного хозяйства.</w:t>
      </w:r>
    </w:p>
    <w:p w:rsidR="00E53496" w:rsidRDefault="00065445" w:rsidP="00774792">
      <w:pPr>
        <w:pStyle w:val="22"/>
        <w:numPr>
          <w:ilvl w:val="0"/>
          <w:numId w:val="12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При отказе пользователя от права на добычу (вылов) указанных водных биоресурсов.</w:t>
      </w:r>
    </w:p>
    <w:p w:rsidR="00E53496" w:rsidRDefault="00065445" w:rsidP="00774792">
      <w:pPr>
        <w:pStyle w:val="22"/>
        <w:numPr>
          <w:ilvl w:val="0"/>
          <w:numId w:val="12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lastRenderedPageBreak/>
        <w:t>Если возникает необходимость использования водных объектов для государственных нужд, перечень которых определяется Правительством Донецкой Народной Респу</w:t>
      </w:r>
      <w:r>
        <w:t>блики.</w:t>
      </w:r>
    </w:p>
    <w:p w:rsidR="00E53496" w:rsidRDefault="00065445" w:rsidP="00774792">
      <w:pPr>
        <w:pStyle w:val="22"/>
        <w:numPr>
          <w:ilvl w:val="0"/>
          <w:numId w:val="11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Разрешительные документы аннулируются до истечения установленного срока их действия, если есть следующие основания для прекращения права на добычу (вылов) водных биоресурсов, предусмотренные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jc w:val="left"/>
      </w:pPr>
      <w:r>
        <w:t xml:space="preserve">пунктом 4 части 1 и пунктами 1,3-7 части 2 статьи 13 </w:t>
      </w:r>
      <w:r>
        <w:t>Закона:</w:t>
      </w:r>
    </w:p>
    <w:p w:rsidR="00E53496" w:rsidRDefault="00065445" w:rsidP="00774792">
      <w:pPr>
        <w:pStyle w:val="22"/>
        <w:numPr>
          <w:ilvl w:val="0"/>
          <w:numId w:val="13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Ликвидация юридического лица, в связи с прекращением предпринимательской деятельности или смертью физического лиц</w:t>
      </w:r>
      <w:proofErr w:type="gramStart"/>
      <w:r>
        <w:t>а-</w:t>
      </w:r>
      <w:proofErr w:type="gramEnd"/>
      <w:r>
        <w:t xml:space="preserve"> предпринимателя, которым водные биоресурсы были предоставлены в специальное пользование;</w:t>
      </w:r>
    </w:p>
    <w:p w:rsidR="00E53496" w:rsidRDefault="00065445" w:rsidP="00774792">
      <w:pPr>
        <w:pStyle w:val="22"/>
        <w:numPr>
          <w:ilvl w:val="0"/>
          <w:numId w:val="13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Нарушение порядка и условий специального по</w:t>
      </w:r>
      <w:r>
        <w:t>льзования водными биоресурсами;</w:t>
      </w:r>
    </w:p>
    <w:p w:rsidR="00E53496" w:rsidRDefault="00065445" w:rsidP="00774792">
      <w:pPr>
        <w:pStyle w:val="22"/>
        <w:numPr>
          <w:ilvl w:val="0"/>
          <w:numId w:val="13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Если добыча (вылов) водных биоресурсов осуществляется в течение двух лет подряд в объеме менее пятидесяти процентов выделенных квот;</w:t>
      </w:r>
    </w:p>
    <w:p w:rsidR="00E53496" w:rsidRDefault="00065445" w:rsidP="00774792">
      <w:pPr>
        <w:pStyle w:val="22"/>
        <w:numPr>
          <w:ilvl w:val="0"/>
          <w:numId w:val="13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Если лицо, у которого имеется право на добычу (вылов) водных биоресурсов, нарушило правила </w:t>
      </w:r>
      <w:r>
        <w:t>рыболовства, в результате чего был причинен крупный вред (ущерб) водным биоресурсам, исчисляемый в соответствии с законодательством;</w:t>
      </w:r>
    </w:p>
    <w:p w:rsidR="00E53496" w:rsidRDefault="00065445" w:rsidP="00774792">
      <w:pPr>
        <w:pStyle w:val="22"/>
        <w:numPr>
          <w:ilvl w:val="0"/>
          <w:numId w:val="13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Если лицо, у которого имеется право на добычу (вылов) водных биоресурсов, не осуществило доставку уловов водных биоресурсов</w:t>
      </w:r>
      <w:r>
        <w:t xml:space="preserve"> в рыбоприемные пункты, рыбоприемные суда или морские порты Донецкой Народной Республики в порядке, установленном Правительством Донецкой Народной Республики;</w:t>
      </w:r>
    </w:p>
    <w:p w:rsidR="00E53496" w:rsidRDefault="00065445" w:rsidP="00774792">
      <w:pPr>
        <w:pStyle w:val="22"/>
        <w:numPr>
          <w:ilvl w:val="0"/>
          <w:numId w:val="13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Если лицо, у которого имеется право на добычу (вылов) водных биоресурсов, в течение календарного </w:t>
      </w:r>
      <w:r>
        <w:t>года без проведения согласования в установленном порядке осуществляло прекращение на сорок восемь и более часов работы технических средств контроля;</w:t>
      </w:r>
    </w:p>
    <w:p w:rsidR="00E53496" w:rsidRDefault="00065445" w:rsidP="00774792">
      <w:pPr>
        <w:pStyle w:val="22"/>
        <w:numPr>
          <w:ilvl w:val="0"/>
          <w:numId w:val="13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Если лицо, у которого имеется право на добычу (вылов) водных биоресурсов, не осуществило выгрузку уловов во</w:t>
      </w:r>
      <w:r>
        <w:t>дных биоресурсов, добытых (выловленных) при осуществлении прибрежного (промыслового) рыболовства, а также рыбной и иной продукции, произведенной из таких уловов на судах рыбопромыслового флота, в соответствии с требованиями Закона.</w:t>
      </w:r>
    </w:p>
    <w:p w:rsidR="00E53496" w:rsidRDefault="00065445" w:rsidP="00774792">
      <w:pPr>
        <w:pStyle w:val="22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Приостановление действия</w:t>
      </w:r>
      <w:r>
        <w:t xml:space="preserve"> и аннулирование разрешительных документов осуществляется </w:t>
      </w:r>
      <w:proofErr w:type="spellStart"/>
      <w:r>
        <w:t>Еосударственным</w:t>
      </w:r>
      <w:proofErr w:type="spellEnd"/>
      <w:r>
        <w:t xml:space="preserve"> комитетом водного и рыбного хозяйства Донецкой Народной Республики путем издания соответствующего приказа в соответствии с документами, подтверждающими наличие оснований, предусмотре</w:t>
      </w:r>
      <w:r>
        <w:t>нных пунктами 5.2 - 5.3 настоящего Порядка.</w:t>
      </w:r>
    </w:p>
    <w:p w:rsidR="00E53496" w:rsidRDefault="00065445" w:rsidP="00774792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приказе о приостановлении действия разрешительных документов </w:t>
      </w:r>
      <w:r>
        <w:lastRenderedPageBreak/>
        <w:t>указывается начало и окончание срока приостановления действия разрешительных документов.</w:t>
      </w:r>
    </w:p>
    <w:p w:rsidR="00E53496" w:rsidRDefault="00065445" w:rsidP="00774792">
      <w:pPr>
        <w:pStyle w:val="22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Информация о приостановлении действия или аннулировании разр</w:t>
      </w:r>
      <w:r>
        <w:t xml:space="preserve">ешительных документов на добычу (вылов) </w:t>
      </w:r>
      <w:r w:rsidR="00774792">
        <w:t>водных биоресурсов вносится в Г</w:t>
      </w:r>
      <w:r>
        <w:t xml:space="preserve">осударственный </w:t>
      </w:r>
      <w:proofErr w:type="spellStart"/>
      <w:r>
        <w:t>рыбохозяйственный</w:t>
      </w:r>
      <w:proofErr w:type="spellEnd"/>
      <w:r>
        <w:t xml:space="preserve"> реестр Донецкой Народной Республики.</w:t>
      </w:r>
    </w:p>
    <w:p w:rsidR="00E53496" w:rsidRDefault="00065445" w:rsidP="00774792">
      <w:pPr>
        <w:pStyle w:val="22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В примечании Журнала Государственным комитетом водного и рыбного хозяйства Донецкой Народной Республики производит</w:t>
      </w:r>
      <w:r>
        <w:t xml:space="preserve">ся отметка </w:t>
      </w:r>
      <w:proofErr w:type="gramStart"/>
      <w:r>
        <w:t>об</w:t>
      </w:r>
      <w:proofErr w:type="gramEnd"/>
      <w:r>
        <w:t xml:space="preserve"> приостановлении действия или аннулировании разрешительных документов.</w:t>
      </w:r>
    </w:p>
    <w:p w:rsidR="00E53496" w:rsidRDefault="00065445" w:rsidP="00774792">
      <w:pPr>
        <w:pStyle w:val="22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Действие разрешительных документов должно быть возобновлено Государственным комитетом водного и рыбного хозяйства Донецкой Народной Республики при изменении обстоятельств, </w:t>
      </w:r>
      <w:r>
        <w:t>предусмотренных подпунктами 5.2.1-5.2.3 пункта 5.2 настоящего Порядка, повлекших за собой приостановление действия разрешительных документов.</w:t>
      </w:r>
    </w:p>
    <w:p w:rsidR="00774792" w:rsidRDefault="00774792" w:rsidP="00774792">
      <w:pPr>
        <w:pStyle w:val="22"/>
        <w:shd w:val="clear" w:color="auto" w:fill="auto"/>
        <w:tabs>
          <w:tab w:val="left" w:pos="1239"/>
        </w:tabs>
        <w:spacing w:before="0" w:after="0" w:line="276" w:lineRule="auto"/>
      </w:pPr>
    </w:p>
    <w:p w:rsidR="00E53496" w:rsidRDefault="00065445" w:rsidP="00774792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-142"/>
        </w:tabs>
        <w:spacing w:before="0" w:after="0" w:line="276" w:lineRule="auto"/>
        <w:ind w:firstLine="0"/>
      </w:pPr>
      <w:bookmarkStart w:id="10" w:name="bookmark10"/>
      <w:r>
        <w:t>Обжалование решений</w:t>
      </w:r>
      <w:bookmarkEnd w:id="10"/>
    </w:p>
    <w:p w:rsidR="00774792" w:rsidRDefault="00774792" w:rsidP="00774792">
      <w:pPr>
        <w:pStyle w:val="20"/>
        <w:keepNext/>
        <w:keepLines/>
        <w:shd w:val="clear" w:color="auto" w:fill="auto"/>
        <w:tabs>
          <w:tab w:val="left" w:pos="3660"/>
        </w:tabs>
        <w:spacing w:before="0" w:after="0" w:line="276" w:lineRule="auto"/>
        <w:ind w:firstLine="0"/>
        <w:jc w:val="both"/>
      </w:pPr>
    </w:p>
    <w:p w:rsidR="00E53496" w:rsidRDefault="00065445" w:rsidP="00774792">
      <w:pPr>
        <w:pStyle w:val="22"/>
        <w:numPr>
          <w:ilvl w:val="0"/>
          <w:numId w:val="1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Обжалование решений, принятых Государственным комитетом водного и рыбного хозяйства Донецкой Н</w:t>
      </w:r>
      <w:r>
        <w:t>ародной Республики, касающихся оформления, выдачи, приостановления действия и аннулирования разрешительных документов, осуществляется субъектом хозяйствования в соответствии с действующим законодательством Донецкой Народной Республики.</w:t>
      </w: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24575" cy="9207500"/>
            <wp:effectExtent l="0" t="0" r="0" b="0"/>
            <wp:docPr id="1" name="Рисунок 1" descr="C:\Users\user\Desktop\доки\постановления совета министров\06.05\П 7-1\Postanov_N7_1_2404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6.05\П 7-1\Postanov_N7_1_24042019_Page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0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624830" cy="9207500"/>
            <wp:effectExtent l="0" t="0" r="0" b="0"/>
            <wp:docPr id="2" name="Рисунок 2" descr="C:\Users\user\Desktop\доки\постановления совета министров\06.05\П 7-1\Postanov_N7_1_2404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6.05\П 7-1\Postanov_N7_1_24042019_Page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920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571490" cy="7804150"/>
            <wp:effectExtent l="0" t="0" r="0" b="0"/>
            <wp:docPr id="3" name="Рисунок 3" descr="C:\Users\user\Desktop\доки\постановления совета министров\06.05\П 7-1\Postanov_N7_1_24042019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6.05\П 7-1\Postanov_N7_1_24042019_Page1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490" cy="780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  <w:sectPr w:rsidR="00774792">
          <w:headerReference w:type="default" r:id="rId12"/>
          <w:pgSz w:w="11900" w:h="16840"/>
          <w:pgMar w:top="1157" w:right="530" w:bottom="1181" w:left="1665" w:header="0" w:footer="3" w:gutter="0"/>
          <w:pgNumType w:start="2"/>
          <w:cols w:space="720"/>
          <w:noEndnote/>
          <w:docGrid w:linePitch="360"/>
        </w:sectPr>
      </w:pPr>
    </w:p>
    <w:p w:rsidR="00774792" w:rsidRDefault="00774792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  <w:sectPr w:rsidR="00774792" w:rsidSect="00774792">
          <w:pgSz w:w="16840" w:h="11900" w:orient="landscape"/>
          <w:pgMar w:top="1667" w:right="1157" w:bottom="527" w:left="1179" w:header="0" w:footer="6" w:gutter="0"/>
          <w:pgNumType w:start="2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 wp14:anchorId="19A0388E" wp14:editId="32A66A11">
            <wp:extent cx="9413172" cy="4763386"/>
            <wp:effectExtent l="0" t="0" r="0" b="0"/>
            <wp:docPr id="4" name="Рисунок 4" descr="C:\Users\user\Desktop\доки\постановления совета министров\06.05\П 7-1\Postanov_N7_1_24042019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6.05\П 7-1\Postanov_N7_1_24042019_Page1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285" cy="4763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92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64580" cy="8860155"/>
            <wp:effectExtent l="0" t="0" r="0" b="0"/>
            <wp:docPr id="5" name="Рисунок 5" descr="C:\Users\user\Desktop\доки\постановления совета министров\06.05\П 7-1\Postanov_N7_1_24042019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6.05\П 7-1\Postanov_N7_1_24042019_Page1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886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4580" cy="8986520"/>
            <wp:effectExtent l="0" t="0" r="0" b="0"/>
            <wp:docPr id="6" name="Рисунок 6" descr="C:\Users\user\Desktop\доки\постановления совета министров\06.05\П 7-1\Postanov_N7_1_24042019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06.05\П 7-1\Postanov_N7_1_24042019_Page16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898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  <w:sectPr w:rsidR="0095309E">
          <w:pgSz w:w="11900" w:h="16840"/>
          <w:pgMar w:top="1157" w:right="530" w:bottom="1181" w:left="1665" w:header="0" w:footer="3" w:gutter="0"/>
          <w:pgNumType w:start="2"/>
          <w:cols w:space="720"/>
          <w:noEndnote/>
          <w:docGrid w:linePitch="360"/>
        </w:sectPr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206865" cy="5518150"/>
            <wp:effectExtent l="0" t="0" r="0" b="0"/>
            <wp:docPr id="7" name="Рисунок 7" descr="C:\Users\user\Desktop\доки\постановления совета министров\06.05\П 7-1\Postanov_N7_1_24042019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06.05\П 7-1\Postanov_N7_1_24042019_Page17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865" cy="551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206865" cy="4777105"/>
            <wp:effectExtent l="0" t="0" r="0" b="0"/>
            <wp:docPr id="8" name="Рисунок 8" descr="C:\Users\user\Desktop\доки\постановления совета министров\06.05\П 7-1\Postanov_N7_1_24042019_Pag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06.05\П 7-1\Postanov_N7_1_24042019_Page1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865" cy="477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206865" cy="5202555"/>
            <wp:effectExtent l="0" t="0" r="0" b="0"/>
            <wp:docPr id="9" name="Рисунок 9" descr="C:\Users\user\Desktop\доки\постановления совета министров\06.05\П 7-1\Postanov_N7_1_24042019_Pag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доки\постановления совета министров\06.05\П 7-1\Postanov_N7_1_24042019_Page19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865" cy="520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206865" cy="3909695"/>
            <wp:effectExtent l="0" t="0" r="0" b="0"/>
            <wp:docPr id="10" name="Рисунок 10" descr="C:\Users\user\Desktop\доки\постановления совета министров\06.05\П 7-1\Postanov_N7_1_24042019_Pag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доки\постановления совета министров\06.05\П 7-1\Postanov_N7_1_24042019_Page2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865" cy="390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  <w:sectPr w:rsidR="0095309E" w:rsidSect="0095309E">
          <w:pgSz w:w="16840" w:h="11900" w:orient="landscape"/>
          <w:pgMar w:top="1667" w:right="1157" w:bottom="527" w:left="1179" w:header="0" w:footer="6" w:gutter="0"/>
          <w:pgNumType w:start="2"/>
          <w:cols w:space="720"/>
          <w:noEndnote/>
          <w:docGrid w:linePitch="360"/>
        </w:sectPr>
      </w:pPr>
    </w:p>
    <w:p w:rsidR="0095309E" w:rsidRDefault="0095309E" w:rsidP="00774792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64580" cy="8954770"/>
            <wp:effectExtent l="0" t="0" r="0" b="0"/>
            <wp:docPr id="11" name="Рисунок 11" descr="C:\Users\user\Desktop\доки\постановления совета министров\06.05\П 7-1\Postanov_N7_1_24042019_Pag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доки\постановления совета министров\06.05\П 7-1\Postanov_N7_1_24042019_Page2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895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1" w:name="_GoBack"/>
      <w:bookmarkEnd w:id="11"/>
    </w:p>
    <w:sectPr w:rsidR="0095309E" w:rsidSect="0095309E">
      <w:pgSz w:w="11900" w:h="16840"/>
      <w:pgMar w:top="1157" w:right="527" w:bottom="1179" w:left="1667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45" w:rsidRDefault="00065445">
      <w:r>
        <w:separator/>
      </w:r>
    </w:p>
  </w:endnote>
  <w:endnote w:type="continuationSeparator" w:id="0">
    <w:p w:rsidR="00065445" w:rsidRDefault="0006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45" w:rsidRDefault="00065445"/>
  </w:footnote>
  <w:footnote w:type="continuationSeparator" w:id="0">
    <w:p w:rsidR="00065445" w:rsidRDefault="000654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496" w:rsidRDefault="0006544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53496" w:rsidRDefault="00065445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5309E" w:rsidRPr="0095309E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9A6"/>
    <w:multiLevelType w:val="multilevel"/>
    <w:tmpl w:val="8DB60CF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D33572"/>
    <w:multiLevelType w:val="multilevel"/>
    <w:tmpl w:val="30EE61E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393493"/>
    <w:multiLevelType w:val="multilevel"/>
    <w:tmpl w:val="5122179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AD49E4"/>
    <w:multiLevelType w:val="hybridMultilevel"/>
    <w:tmpl w:val="C378874A"/>
    <w:lvl w:ilvl="0" w:tplc="04F20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316523"/>
    <w:multiLevelType w:val="multilevel"/>
    <w:tmpl w:val="650CD8FC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491B0A"/>
    <w:multiLevelType w:val="multilevel"/>
    <w:tmpl w:val="113A1E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C24107"/>
    <w:multiLevelType w:val="multilevel"/>
    <w:tmpl w:val="F3B64B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7221DE"/>
    <w:multiLevelType w:val="multilevel"/>
    <w:tmpl w:val="D97277BC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8E2B94"/>
    <w:multiLevelType w:val="multilevel"/>
    <w:tmpl w:val="1D10782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6744F9"/>
    <w:multiLevelType w:val="multilevel"/>
    <w:tmpl w:val="7A28DE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5D2837"/>
    <w:multiLevelType w:val="multilevel"/>
    <w:tmpl w:val="1F1E39D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3B0A71"/>
    <w:multiLevelType w:val="multilevel"/>
    <w:tmpl w:val="761685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703812"/>
    <w:multiLevelType w:val="multilevel"/>
    <w:tmpl w:val="A1EA0AD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71752E"/>
    <w:multiLevelType w:val="multilevel"/>
    <w:tmpl w:val="726C2E4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CC1166"/>
    <w:multiLevelType w:val="multilevel"/>
    <w:tmpl w:val="5F84D83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9"/>
  </w:num>
  <w:num w:numId="5">
    <w:abstractNumId w:val="5"/>
  </w:num>
  <w:num w:numId="6">
    <w:abstractNumId w:val="12"/>
  </w:num>
  <w:num w:numId="7">
    <w:abstractNumId w:val="0"/>
  </w:num>
  <w:num w:numId="8">
    <w:abstractNumId w:val="13"/>
  </w:num>
  <w:num w:numId="9">
    <w:abstractNumId w:val="14"/>
  </w:num>
  <w:num w:numId="10">
    <w:abstractNumId w:val="2"/>
  </w:num>
  <w:num w:numId="11">
    <w:abstractNumId w:val="1"/>
  </w:num>
  <w:num w:numId="12">
    <w:abstractNumId w:val="8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3496"/>
    <w:rsid w:val="00065445"/>
    <w:rsid w:val="00774792"/>
    <w:rsid w:val="0095309E"/>
    <w:rsid w:val="00E5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ind w:hanging="9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7479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479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Митченко Андрей</dc:creator>
  <cp:keywords/>
  <cp:lastModifiedBy>user</cp:lastModifiedBy>
  <cp:revision>2</cp:revision>
  <dcterms:created xsi:type="dcterms:W3CDTF">2019-05-06T09:56:00Z</dcterms:created>
  <dcterms:modified xsi:type="dcterms:W3CDTF">2019-05-06T10:10:00Z</dcterms:modified>
</cp:coreProperties>
</file>