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0A" w:rsidRDefault="00D765DA" w:rsidP="0079711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45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E760A" w:rsidRDefault="006E760A" w:rsidP="00797110">
      <w:pPr>
        <w:spacing w:line="276" w:lineRule="auto"/>
      </w:pPr>
    </w:p>
    <w:p w:rsidR="00797110" w:rsidRDefault="00797110" w:rsidP="00797110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0" w:name="bookmark0"/>
    </w:p>
    <w:p w:rsidR="00797110" w:rsidRDefault="00797110" w:rsidP="00797110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</w:p>
    <w:p w:rsidR="006E760A" w:rsidRDefault="00D765DA" w:rsidP="00797110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E760A" w:rsidRDefault="00D765DA" w:rsidP="00797110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97110" w:rsidRDefault="00797110" w:rsidP="00797110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6E760A" w:rsidRDefault="00D765DA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6E760A" w:rsidRDefault="00D765DA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29 марта 2017 г. № 5-8</w:t>
      </w:r>
      <w:bookmarkEnd w:id="2"/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6E760A" w:rsidRDefault="00D765DA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</w:pPr>
      <w:bookmarkStart w:id="3" w:name="bookmark3"/>
      <w:r>
        <w:rPr>
          <w:rStyle w:val="214pt"/>
          <w:b/>
          <w:bCs/>
        </w:rPr>
        <w:t>Об утверждении Порядка выдачи эксплуатационного разрешения</w:t>
      </w:r>
      <w:r>
        <w:rPr>
          <w:rStyle w:val="214pt"/>
          <w:b/>
          <w:bCs/>
        </w:rPr>
        <w:br/>
        <w:t>для мощностей (объектов) по производству и (или) обороту</w:t>
      </w:r>
      <w:bookmarkEnd w:id="3"/>
    </w:p>
    <w:p w:rsidR="006E760A" w:rsidRDefault="00D765DA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пищевых продуктов</w:t>
      </w:r>
      <w:bookmarkEnd w:id="4"/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Во исполнение статьи 10 </w:t>
      </w:r>
      <w:hyperlink r:id="rId9" w:history="1">
        <w:bookmarkStart w:id="5" w:name="_GoBack"/>
        <w:r w:rsidRPr="004E3856">
          <w:rPr>
            <w:rStyle w:val="a3"/>
          </w:rPr>
          <w:t>Закон</w:t>
        </w:r>
        <w:bookmarkEnd w:id="5"/>
        <w:r w:rsidRPr="004E3856">
          <w:rPr>
            <w:rStyle w:val="a3"/>
          </w:rPr>
          <w:t xml:space="preserve">а Донецкой Народной Республики от 08.04.2016 № </w:t>
        </w:r>
        <w:r w:rsidRPr="004E3856">
          <w:rPr>
            <w:rStyle w:val="a3"/>
            <w:lang w:eastAsia="en-US" w:bidi="en-US"/>
          </w:rPr>
          <w:t>120-</w:t>
        </w:r>
        <w:r w:rsidRPr="004E3856">
          <w:rPr>
            <w:rStyle w:val="a3"/>
            <w:lang w:val="en-US" w:eastAsia="en-US" w:bidi="en-US"/>
          </w:rPr>
          <w:t>IHC</w:t>
        </w:r>
        <w:r w:rsidRPr="004E3856">
          <w:rPr>
            <w:rStyle w:val="a3"/>
            <w:lang w:eastAsia="en-US" w:bidi="en-US"/>
          </w:rPr>
          <w:t xml:space="preserve"> </w:t>
        </w:r>
        <w:r w:rsidRPr="004E3856">
          <w:rPr>
            <w:rStyle w:val="a3"/>
          </w:rPr>
          <w:t>«О безопасности и качестве пищевых продуктов»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6" w:name="bookmark5"/>
    </w:p>
    <w:p w:rsidR="006E760A" w:rsidRDefault="00D765DA" w:rsidP="0079711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6"/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E760A" w:rsidRDefault="00D765DA" w:rsidP="00797110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60"/>
      </w:pPr>
      <w:r>
        <w:rPr>
          <w:rStyle w:val="24"/>
        </w:rPr>
        <w:t xml:space="preserve">Утвердить Порядок выдачи эксплуатационного </w:t>
      </w:r>
      <w:r>
        <w:rPr>
          <w:rStyle w:val="24"/>
        </w:rPr>
        <w:t>разрешения для мощностей (объектов) по производству и (или) обороту пищевых продуктов, (прилагается).</w:t>
      </w:r>
    </w:p>
    <w:p w:rsidR="006E760A" w:rsidRDefault="00D765DA" w:rsidP="00797110">
      <w:pPr>
        <w:pStyle w:val="a5"/>
        <w:numPr>
          <w:ilvl w:val="0"/>
          <w:numId w:val="1"/>
        </w:numPr>
        <w:shd w:val="clear" w:color="auto" w:fill="auto"/>
        <w:tabs>
          <w:tab w:val="left" w:pos="1088"/>
        </w:tabs>
        <w:spacing w:before="120" w:line="276" w:lineRule="auto"/>
        <w:jc w:val="both"/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right="5140"/>
        <w:jc w:val="left"/>
        <w:rPr>
          <w:rStyle w:val="214pt"/>
          <w:b/>
          <w:bCs/>
        </w:rPr>
      </w:pP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right="5140"/>
        <w:jc w:val="left"/>
        <w:rPr>
          <w:rStyle w:val="214pt"/>
          <w:b/>
          <w:bCs/>
        </w:rPr>
      </w:pPr>
    </w:p>
    <w:p w:rsidR="00797110" w:rsidRDefault="00797110" w:rsidP="00797110">
      <w:pPr>
        <w:pStyle w:val="20"/>
        <w:keepNext/>
        <w:keepLines/>
        <w:shd w:val="clear" w:color="auto" w:fill="auto"/>
        <w:spacing w:before="0" w:after="0" w:line="276" w:lineRule="auto"/>
        <w:ind w:right="5140"/>
        <w:jc w:val="left"/>
        <w:rPr>
          <w:rStyle w:val="214pt"/>
          <w:b/>
          <w:bCs/>
        </w:rPr>
      </w:pPr>
    </w:p>
    <w:p w:rsidR="00797110" w:rsidRDefault="00D765DA" w:rsidP="00797110">
      <w:pPr>
        <w:pStyle w:val="3"/>
        <w:keepNext/>
        <w:keepLines/>
        <w:shd w:val="clear" w:color="auto" w:fill="auto"/>
        <w:spacing w:before="0" w:after="0" w:line="280" w:lineRule="exact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797110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7"/>
      <w:r w:rsidR="00797110">
        <w:rPr>
          <w:rStyle w:val="214pt"/>
          <w:b/>
          <w:bCs/>
        </w:rPr>
        <w:t xml:space="preserve">                                                                       </w:t>
      </w:r>
      <w:r w:rsidR="00797110">
        <w:rPr>
          <w:rStyle w:val="3Exact0"/>
          <w:b/>
          <w:bCs/>
        </w:rPr>
        <w:t>А. В. Захарченко</w:t>
      </w:r>
    </w:p>
    <w:p w:rsidR="006E760A" w:rsidRDefault="006E760A" w:rsidP="00797110">
      <w:pPr>
        <w:pStyle w:val="20"/>
        <w:keepNext/>
        <w:keepLines/>
        <w:shd w:val="clear" w:color="auto" w:fill="auto"/>
        <w:spacing w:before="0" w:after="0" w:line="276" w:lineRule="auto"/>
        <w:ind w:right="5140"/>
        <w:jc w:val="left"/>
        <w:sectPr w:rsidR="006E760A" w:rsidSect="00797110">
          <w:type w:val="continuous"/>
          <w:pgSz w:w="11900" w:h="16840"/>
          <w:pgMar w:top="851" w:right="478" w:bottom="2622" w:left="1678" w:header="0" w:footer="3" w:gutter="0"/>
          <w:cols w:space="720"/>
          <w:noEndnote/>
          <w:docGrid w:linePitch="360"/>
        </w:sectPr>
      </w:pP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</w:t>
      </w:r>
      <w:r>
        <w:t>ЕН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от 29 марта 2017 г. № 5-8</w:t>
      </w:r>
    </w:p>
    <w:p w:rsidR="004F1929" w:rsidRDefault="004F1929" w:rsidP="00797110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6E760A" w:rsidRDefault="00D765DA" w:rsidP="00797110">
      <w:pPr>
        <w:pStyle w:val="31"/>
        <w:shd w:val="clear" w:color="auto" w:fill="auto"/>
        <w:spacing w:before="0" w:line="276" w:lineRule="auto"/>
      </w:pPr>
      <w:r>
        <w:t>ПОРЯДОК</w:t>
      </w:r>
    </w:p>
    <w:p w:rsidR="006E760A" w:rsidRDefault="00D765DA" w:rsidP="00797110">
      <w:pPr>
        <w:pStyle w:val="40"/>
        <w:shd w:val="clear" w:color="auto" w:fill="auto"/>
        <w:spacing w:after="0" w:line="276" w:lineRule="auto"/>
      </w:pPr>
      <w:r>
        <w:t>выдачи эксплуатационного разрешения для мощностей (объектов)</w:t>
      </w:r>
      <w:r>
        <w:br/>
        <w:t>по производству и (или) обороту пищевых продуктов</w:t>
      </w:r>
    </w:p>
    <w:p w:rsidR="004F1929" w:rsidRDefault="004F1929" w:rsidP="00797110">
      <w:pPr>
        <w:pStyle w:val="40"/>
        <w:shd w:val="clear" w:color="auto" w:fill="auto"/>
        <w:spacing w:after="0" w:line="276" w:lineRule="auto"/>
      </w:pP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proofErr w:type="gramStart"/>
      <w:r>
        <w:t xml:space="preserve">Настоящий Порядок выдачи эксплуатационного </w:t>
      </w:r>
      <w:r>
        <w:t>разрешения для мощностей (объектов) по производству и (или) обороту пищевых продуктов (далее по тексту - Порядок) определяет процедуру выдачи, приостановления (далее по тексту - временное приостановление), отмены и возобновления эксплуатационного разрешени</w:t>
      </w:r>
      <w:r>
        <w:t>я для мощностей (объектов) по производству и (или) обороту пищевых продуктов.</w:t>
      </w:r>
      <w:proofErr w:type="gramEnd"/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r>
        <w:t xml:space="preserve">В настоящем Порядке понятия используются в значениях, установленных </w:t>
      </w:r>
      <w:hyperlink r:id="rId10" w:history="1">
        <w:r w:rsidRPr="0023069B">
          <w:rPr>
            <w:rStyle w:val="a3"/>
          </w:rPr>
          <w:t>Законом Донецкой Народной Республики «О безопасности и качестве пищевых продуктов»</w:t>
        </w:r>
      </w:hyperlink>
      <w:r>
        <w:t>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r>
        <w:t>Операторы мощностей (объек</w:t>
      </w:r>
      <w:r>
        <w:t>тов), которые осуществляют в Донецкой Народной Республике хозяйственную деятельность по производству и (или) обороту пищевых продуктов, подконтрольных Государственной санитарно-эпидемиологической службе Донецкой Народной Республики, обязаны получить эксплу</w:t>
      </w:r>
      <w:r>
        <w:t>атационное разрешение главного государственного санитарного врача Донецкой Народной Республики на каждую из мощностей (объектов).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r>
        <w:t>Операторы мощностей (объектов), осуществляющих в Донецкой Народной Республике хозяйственную деятельность по производству и (ил</w:t>
      </w:r>
      <w:r>
        <w:t>и) обороту пищевых продуктов, подконтрольных государственной ветеринарной службе, и операторы агропродовольственных рынков обязаны получить эксплуатационное разрешение соответствующего главного государственного ветеринарного инспектора, которое выдается на</w:t>
      </w:r>
      <w:r>
        <w:t xml:space="preserve"> каждую из таких мощностей (объектов).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r>
        <w:t xml:space="preserve">Эксплуатационное разрешение выдается на мощности (объекты), которые вводятся в эксплуатацию и (или) функционируют, расположенные по одному адресу, с детализацией на уровне производственной линии и/или перечня пищевых </w:t>
      </w:r>
      <w:r>
        <w:t>продуктов.</w:t>
      </w:r>
    </w:p>
    <w:p w:rsidR="004F1929" w:rsidRDefault="00D765DA" w:rsidP="004F1929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Операторы мощностей (объектов) также обязаны получить </w:t>
      </w:r>
      <w:r>
        <w:lastRenderedPageBreak/>
        <w:t>эксплуатационное разрешение на каждую из мощностей (объектов) в следующих случаях:</w:t>
      </w:r>
      <w:r w:rsidR="004F1929">
        <w:t xml:space="preserve"> 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после введения в эксплуатацию построенных (реконструированных) объектов по производству</w:t>
      </w:r>
      <w:r>
        <w:t xml:space="preserve"> и (или) обороту пищевых продуктов;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при изменении вида хозяйственной деятельности и состояния капитальных помещений (перепланировка);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если эксплуатационное разрешение было отменено;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при осуществлении экспорта пищевых продуктов.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Исполнителями работ, </w:t>
      </w:r>
      <w:r>
        <w:t xml:space="preserve">необходимых для выдачи эксплуатационного разрешения, являются должностные лица соответственной Государственной санитарно-эпидемиологической службы Донецкой Народной Республики или государственной ветеринарной службы Донецкой Народной Республики в пределах </w:t>
      </w:r>
      <w:r>
        <w:t>из полномочий.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Государственная санитарно-эпидемиологическая служба Донецкой Народной Республики осуществляет надзор и </w:t>
      </w:r>
      <w:proofErr w:type="gramStart"/>
      <w:r>
        <w:t>контроль за</w:t>
      </w:r>
      <w:proofErr w:type="gramEnd"/>
      <w:r>
        <w:t xml:space="preserve"> всеми мощностями (объектами) по производству и (или) обороту пищевых продуктов, пищевых и биологически активных добавок, кроме</w:t>
      </w:r>
      <w:r>
        <w:t xml:space="preserve"> необработанных пищевых продуктов животного происхождения и выдает эксплуатационные разрешения на них.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Государственная ветеринарная служба Донецкой Народной Республики осуществляет государственный контроль и надзор за мощностями (объектами) по производству</w:t>
      </w:r>
      <w:r>
        <w:t>, переработке, использованию необработанных пищевых продуктов животного происхождения в качестве сырья и (или) обороту необработанных пищевых продуктов животного происхождения; растениеводческой, сельскохозяйственной и животноводческой продукцией, реализуе</w:t>
      </w:r>
      <w:r>
        <w:t>мой на агропродовольственных рынках, и выдает эксплуатационные разрешения на них.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Размер платы за выдачу или возобновление эксплуатационного разрешения составляет 400 (четыреста) российских рублей, которые зачисляются в Республиканский бюджет Донецкой Наро</w:t>
      </w:r>
      <w:r>
        <w:t xml:space="preserve">дной Республики. Плата за проведение необходимых исследований и измерений взимается в соответствии с законодательством Донецкой Народной Республики. В случае отказа в выдаче эксплуатационного </w:t>
      </w:r>
      <w:proofErr w:type="gramStart"/>
      <w:r>
        <w:t>разрешения</w:t>
      </w:r>
      <w:proofErr w:type="gramEnd"/>
      <w:r>
        <w:t xml:space="preserve"> уплаченные денежные средства возврату не подлежат.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Дл</w:t>
      </w:r>
      <w:r>
        <w:t>я получения эксплуатационного разрешения оператор мощности</w:t>
      </w:r>
    </w:p>
    <w:p w:rsidR="006E760A" w:rsidRDefault="00D765DA" w:rsidP="00797110">
      <w:pPr>
        <w:pStyle w:val="23"/>
        <w:shd w:val="clear" w:color="auto" w:fill="auto"/>
        <w:tabs>
          <w:tab w:val="left" w:pos="4267"/>
          <w:tab w:val="left" w:pos="7493"/>
        </w:tabs>
        <w:spacing w:before="0" w:after="0" w:line="276" w:lineRule="auto"/>
      </w:pPr>
      <w:r>
        <w:t>(объекта) лично или через уполномоченное им лицо обращается с заявлением к главному государственному</w:t>
      </w:r>
      <w:r>
        <w:tab/>
        <w:t>санитарному врачу</w:t>
      </w:r>
      <w:r>
        <w:tab/>
        <w:t>или главному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государственному ветеринарному инспектору административной террит</w:t>
      </w:r>
      <w:r>
        <w:t>ории, на которой расположена мощность (объект).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lastRenderedPageBreak/>
        <w:t>К заявлению прилагаются: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копия документа о государственной регистрации;</w:t>
      </w:r>
    </w:p>
    <w:p w:rsidR="006E760A" w:rsidRDefault="00D765DA" w:rsidP="00797110">
      <w:pPr>
        <w:pStyle w:val="23"/>
        <w:shd w:val="clear" w:color="auto" w:fill="auto"/>
        <w:tabs>
          <w:tab w:val="left" w:pos="4267"/>
          <w:tab w:val="left" w:pos="5952"/>
        </w:tabs>
        <w:spacing w:before="0" w:after="0" w:line="276" w:lineRule="auto"/>
        <w:ind w:firstLine="740"/>
      </w:pPr>
      <w:proofErr w:type="gramStart"/>
      <w:r>
        <w:t>копия документа, подтверждающего ввод в эксплуатацию объекта (акт государственной приемной комиссии о принятии в эксплуатацию законченно</w:t>
      </w:r>
      <w:r>
        <w:t>го строительством/реконструкции</w:t>
      </w:r>
      <w:r>
        <w:tab/>
        <w:t>объекта,</w:t>
      </w:r>
      <w:r>
        <w:tab/>
        <w:t>сертификат соответствия,</w:t>
      </w:r>
      <w:proofErr w:type="gramEnd"/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зарегистрированная декларация, паспорт малой архитектурной формы, прочие документы, предусмотренные законодательством Донецкой Народной Республики);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перечень пищевых продуктов, материалов и </w:t>
      </w:r>
      <w:r>
        <w:t>изделий, которые производит и/или осуществляет мощность (объект), за подписью заявителя;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>квитанция о внесении платы за выдачу эксплуатационного разрешения.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 xml:space="preserve">Оператор мощности (объекта) несет ответственность за недостоверность информации, указанной в </w:t>
      </w:r>
      <w:r>
        <w:t>заявлении о получении эксплуатационного разрешения и прилагаемых к нему документах.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>После поступления заявления и документов, указанных в пункте 11 настоящего Порядка, должностное лицо государственной санитарно</w:t>
      </w:r>
      <w:r w:rsidR="004F1929">
        <w:t>-</w:t>
      </w:r>
      <w:r>
        <w:t xml:space="preserve">эпидемиологической службы или государственной </w:t>
      </w:r>
      <w:r>
        <w:t>ветеринарной службы проводит обследование (</w:t>
      </w:r>
      <w:proofErr w:type="gramStart"/>
      <w:r>
        <w:t xml:space="preserve">инспекцию) </w:t>
      </w:r>
      <w:proofErr w:type="gramEnd"/>
      <w:r>
        <w:t>мощности (объекта), определяет перечень и объем исследований и измерений с целью установления соответствия его требованиям санитарного или ветеринарного законодательства.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>Срок выдачи эксплуатационного р</w:t>
      </w:r>
      <w:r>
        <w:t>азрешения составляет 30 (тридцать) календарных дней от даты получения государственной санитарно</w:t>
      </w:r>
      <w:r w:rsidR="004F1929">
        <w:t>-</w:t>
      </w:r>
      <w:r>
        <w:t>эпидемиологической службой или государственной ветеринарной службой заявления и прилагаемых к нему документов.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 целью устранения замечаний, указанных в акте по </w:t>
      </w:r>
      <w:r>
        <w:t>результатам проведения обследования (инспекции), и выполнения необходимых исследований и измерений срок выдачи эксплуатационного разрешения может быть продлен.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>Решение о выдаче или отказе в выдаче эксплуатаци</w:t>
      </w:r>
      <w:r w:rsidR="004F1929">
        <w:t>онного разрешения принимается Г</w:t>
      </w:r>
      <w:r>
        <w:t>осударственной с</w:t>
      </w:r>
      <w:r>
        <w:t>анитарно-эпидемиологической службой Донецкой Народной Республики или Государственной ветеринарной службой Донецкой Народной Республики на основании результатов проведенных обследований (инспекций), исследований и измерений мощностей (объектов) о соответств</w:t>
      </w:r>
      <w:r>
        <w:t>ии их требованиям санитарного или ветеринарного законодательства.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0" w:line="276" w:lineRule="auto"/>
        <w:ind w:firstLine="760"/>
      </w:pPr>
      <w:r>
        <w:t>Эксплуатационное разрешение выдается по форме, согласно приложению к настоящему Порядку, в трех экземплярах.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Эксплуатационное разрешение подписывается главным государственным </w:t>
      </w:r>
      <w:r>
        <w:lastRenderedPageBreak/>
        <w:t>санитарным врач</w:t>
      </w:r>
      <w:r>
        <w:t>ом или главным государственным ветеринарным инспектором административной территории или их заместителями.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>Первый экземпляр выдается оператору мощностей (объектов),</w:t>
      </w:r>
      <w:r w:rsidR="004F1929">
        <w:t xml:space="preserve"> второй остается в учреждении Г</w:t>
      </w:r>
      <w:r>
        <w:t>осударственной санитарно-эпидемиологической службы Донецкой Н</w:t>
      </w:r>
      <w:r>
        <w:t xml:space="preserve">ародной Республики или Государственной ветеринарной службы Донецкой Народной Республики, которые выдали эксплуатационное разрешение, третий экземпляр направляется в Республиканский центр санитарно-эпидемиологического надзора либо орган, в ведении которого </w:t>
      </w:r>
      <w:r w:rsidR="004F1929">
        <w:t>находится учреждение Г</w:t>
      </w:r>
      <w:r>
        <w:t>осударственной ветеринарной службы Донецкой Народной Республики, выдавшее разрешение.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60"/>
      </w:pPr>
      <w:r>
        <w:t>Присвоение персонального контрольного (регистрационного) номера и ведение реестра эксплуатационных разрешений осуществляют Республиканский центр са</w:t>
      </w:r>
      <w:r>
        <w:t>нитарн</w:t>
      </w:r>
      <w:r w:rsidR="004F1929">
        <w:t>о-эпидемиологического надзора Г</w:t>
      </w:r>
      <w:r>
        <w:t>осударственной санитарно-эпидемиологической службы Министерства здравоохранения Донецкой Народной Республики и Главное управление ветеринарного контроля и надзора Министерства агропромышленной политики и продовольствия</w:t>
      </w:r>
      <w:r>
        <w:t xml:space="preserve"> Донецкой Народной Республики соответственно.</w:t>
      </w:r>
    </w:p>
    <w:p w:rsidR="006E760A" w:rsidRDefault="00D765DA" w:rsidP="00797110">
      <w:pPr>
        <w:pStyle w:val="23"/>
        <w:shd w:val="clear" w:color="auto" w:fill="auto"/>
        <w:tabs>
          <w:tab w:val="left" w:pos="4474"/>
        </w:tabs>
        <w:spacing w:before="0" w:after="0" w:line="276" w:lineRule="auto"/>
        <w:ind w:firstLine="740"/>
      </w:pPr>
      <w:r>
        <w:t>Эксплуатационное разрешение без наличия персонального контрольного (регистрационного) номера и</w:t>
      </w:r>
      <w:r>
        <w:tab/>
        <w:t>не внесенное в реестр считается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недействительным.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Порядок ведения реестра эксплуатационных разрешений определяется </w:t>
      </w:r>
      <w:r>
        <w:t>Министерством здравоохранения Донецкой Народной Республики и Министерством агропромышленной политики и продовольствия Донецкой Народной Республики соответственно.</w:t>
      </w:r>
    </w:p>
    <w:p w:rsidR="006E760A" w:rsidRDefault="00D765DA" w:rsidP="00797110">
      <w:pPr>
        <w:pStyle w:val="23"/>
        <w:shd w:val="clear" w:color="auto" w:fill="auto"/>
        <w:tabs>
          <w:tab w:val="left" w:pos="4474"/>
        </w:tabs>
        <w:spacing w:before="0" w:after="0" w:line="276" w:lineRule="auto"/>
        <w:ind w:firstLine="740"/>
      </w:pPr>
      <w:r>
        <w:t>Данные о внесении оператора мощностей (объектов) в реестр эксплуатационных разрешений публику</w:t>
      </w:r>
      <w:r>
        <w:t>ются на официальных сайтах Министерства здравоохранения</w:t>
      </w:r>
      <w:r>
        <w:tab/>
        <w:t>Донецкой Народной Республики и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Министерства агропромышленной политики и продовольствия Донецкой Народной Республики.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Срок действия эксплуатационного разрешения составляет 5 (пять) лет. Условием действ</w:t>
      </w:r>
      <w:r>
        <w:t>ия эксплуатационного разрешения является соблюдение оператором мощностей (объектов) требований санитарного или ветеринарного законодательства при производстве и (или) обороте пищевых продуктов.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В случае принятия решения об отказе в выдаче эксплуатационного</w:t>
      </w:r>
      <w:r>
        <w:t xml:space="preserve"> разрешения оператору мощностей (объектов) направляется письмо о принятом решении с указанием причин отказа.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 xml:space="preserve">Решение об отказе в выдаче эксплуатационного разрешения может быть обжаловано главному государственному санитарному врачу Донецкой </w:t>
      </w:r>
      <w:r>
        <w:lastRenderedPageBreak/>
        <w:t>Народной Республ</w:t>
      </w:r>
      <w:r>
        <w:t>ики, или главному государственному ветеринарному инспектору Донецкой Народной Республики, или в суде.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 xml:space="preserve">В случае устранения причин, послуживших основанием для отказа </w:t>
      </w:r>
      <w:proofErr w:type="gramStart"/>
      <w:r>
        <w:t>в</w:t>
      </w:r>
      <w:proofErr w:type="gramEnd"/>
    </w:p>
    <w:p w:rsidR="006E760A" w:rsidRDefault="00D765DA" w:rsidP="00797110">
      <w:pPr>
        <w:pStyle w:val="23"/>
        <w:shd w:val="clear" w:color="auto" w:fill="auto"/>
        <w:tabs>
          <w:tab w:val="left" w:pos="2746"/>
          <w:tab w:val="left" w:pos="5376"/>
          <w:tab w:val="left" w:pos="8318"/>
        </w:tabs>
        <w:spacing w:before="0" w:after="0" w:line="276" w:lineRule="auto"/>
      </w:pPr>
      <w:r>
        <w:t>выдаче эксплуатационного разрешения, повторное рассмотрение документов осуществляется</w:t>
      </w:r>
      <w:r>
        <w:tab/>
        <w:t>учре</w:t>
      </w:r>
      <w:r>
        <w:t>ждениями</w:t>
      </w:r>
      <w:r>
        <w:tab/>
        <w:t>Государственной</w:t>
      </w:r>
      <w:r>
        <w:tab/>
        <w:t>санитарно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эпидемиологической службы или государственной ветеринарной службы в срок, не превышающий 5 (пяти) рабочих дней со дня повторного получения заявления и прилагаемых к нему документов.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В случае если оператор мощностей (объек</w:t>
      </w:r>
      <w:r>
        <w:t>тов) уже имеет эксплуатационное разрешение, однако, построил новые или осуществляет реконструкцию существующих сооружений, строений, помещений, технологических линий либо отдельных производственных операций, работ либо иной хозяйственной деятельности, тако</w:t>
      </w:r>
      <w:r>
        <w:t xml:space="preserve">й оператор должен обратиться с новым заявлением о планируемых работах в учреждения государственной санитарно-эпидемиологической службы или государственной ветеринарной службы, который выдал ему действующее эксплуатационное разрешение, не </w:t>
      </w:r>
      <w:proofErr w:type="gramStart"/>
      <w:r>
        <w:t>позднее</w:t>
      </w:r>
      <w:proofErr w:type="gramEnd"/>
      <w:r>
        <w:t xml:space="preserve"> чем за 30 </w:t>
      </w:r>
      <w:r>
        <w:t>(тридцать) календарных дней до начала такого производства, переработки и (или) оборота пищевых продуктов.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Учреждения Государственной санитарно-эпидемиологической службы или государственной ветеринарной службы в течении З</w:t>
      </w:r>
      <w:proofErr w:type="gramStart"/>
      <w:r>
        <w:t>О(</w:t>
      </w:r>
      <w:proofErr w:type="gramEnd"/>
      <w:r>
        <w:t>тридцать) календарных дней от даты</w:t>
      </w:r>
      <w:r>
        <w:t xml:space="preserve"> поступления заявления проводит обследование (инспекцию) новых или реконструированных сооружений, строений, помещений, технологических линий либо отдельных производственных операций, работ либо иной хозяйственной деятельности и необходимые исследования и и</w:t>
      </w:r>
      <w:r>
        <w:t>змерения.</w:t>
      </w:r>
    </w:p>
    <w:p w:rsidR="006E760A" w:rsidRDefault="00D765DA" w:rsidP="00797110">
      <w:pPr>
        <w:pStyle w:val="23"/>
        <w:shd w:val="clear" w:color="auto" w:fill="auto"/>
        <w:tabs>
          <w:tab w:val="left" w:pos="1046"/>
          <w:tab w:val="left" w:pos="1747"/>
          <w:tab w:val="left" w:pos="3283"/>
          <w:tab w:val="left" w:pos="5794"/>
          <w:tab w:val="left" w:pos="8170"/>
          <w:tab w:val="left" w:pos="9005"/>
        </w:tabs>
        <w:spacing w:before="0" w:after="0" w:line="276" w:lineRule="auto"/>
        <w:ind w:firstLine="740"/>
      </w:pPr>
      <w:r>
        <w:t>Оператор мощностей (объектов) может начать использование новых или реконструированных сооружений, строений, помещений, технологических линий</w:t>
      </w:r>
      <w:r>
        <w:tab/>
        <w:t>либо</w:t>
      </w:r>
      <w:r>
        <w:tab/>
        <w:t>отдельных</w:t>
      </w:r>
      <w:r>
        <w:tab/>
        <w:t>производственных</w:t>
      </w:r>
      <w:r>
        <w:tab/>
        <w:t>операций, работ</w:t>
      </w:r>
      <w:r>
        <w:tab/>
        <w:t>либо</w:t>
      </w:r>
      <w:r>
        <w:tab/>
        <w:t>иной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хозяйственной деятельности при получении акта о</w:t>
      </w:r>
      <w:r>
        <w:t xml:space="preserve"> результатах проведения обследования (инспекции), если такой акт подтверждает соответствие мощностей (объектов) требованиям санитарного или ветеринарного законодательства.</w:t>
      </w:r>
    </w:p>
    <w:p w:rsidR="006E760A" w:rsidRDefault="00D765DA" w:rsidP="004F1929">
      <w:pPr>
        <w:pStyle w:val="23"/>
        <w:shd w:val="clear" w:color="auto" w:fill="auto"/>
        <w:tabs>
          <w:tab w:val="left" w:pos="1046"/>
          <w:tab w:val="left" w:pos="1747"/>
          <w:tab w:val="left" w:pos="3283"/>
          <w:tab w:val="left" w:pos="5794"/>
          <w:tab w:val="left" w:pos="8170"/>
          <w:tab w:val="left" w:pos="9005"/>
        </w:tabs>
        <w:spacing w:before="0" w:after="0" w:line="276" w:lineRule="auto"/>
        <w:ind w:firstLine="740"/>
      </w:pPr>
      <w:r>
        <w:t>Если в акте указаны нарушения требований санитарного или ветеринарного законодательс</w:t>
      </w:r>
      <w:r>
        <w:t>тва использование новых или реконструированных сооружений, строений, помеще</w:t>
      </w:r>
      <w:r w:rsidR="004F1929">
        <w:t xml:space="preserve">ний, технологических линий либо отдельных производственных операций, работ либо </w:t>
      </w:r>
      <w:r>
        <w:t>иной</w:t>
      </w:r>
      <w:r w:rsidR="004F1929">
        <w:t xml:space="preserve"> </w:t>
      </w:r>
      <w:r>
        <w:t xml:space="preserve">хозяйственной деятельности возможно только после проведения повторного обследования (инспекции) </w:t>
      </w:r>
      <w:r>
        <w:t>с оформлением соответствующего акта.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 xml:space="preserve">В случае необходимости устранения замечаний, определенных в акте по результатам проведения обследования (инспекции), и выполнения в полном объеме необходимых исследований и измерений срок осуществления данной процедуры </w:t>
      </w:r>
      <w:r>
        <w:t>может быть продлен.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Оплата работ по проведению обследований (инспекций), необходимых исследований и измерений, предусмотренных данным пунктом, осуществляются оператором мощностей (объектов) в соответствии с законодательством Донецкой Народной Республики.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740"/>
      </w:pPr>
      <w:r>
        <w:t xml:space="preserve">Действие эксплуатационного разрешения не подлежит временному приостановлению в случае, если во время осуществления государственного надзора и </w:t>
      </w:r>
      <w:proofErr w:type="gramStart"/>
      <w:r>
        <w:t>контроля за</w:t>
      </w:r>
      <w:proofErr w:type="gramEnd"/>
      <w:r>
        <w:t xml:space="preserve"> соблюдением требований санитарного или ветеринарного законодательства установлены: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нарушения условий э</w:t>
      </w:r>
      <w:r>
        <w:t>ксплуатационного разрешения, которые возможно немедленно устранить в присутствии проверяющих должностных лиц;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нарушения условий эксплуатационного разрешения, которые невозможно немедленно устранить, однако они не представляют непосредственной угрозы для жи</w:t>
      </w:r>
      <w:r>
        <w:t>зни и здоровья населения.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740"/>
      </w:pPr>
      <w:r>
        <w:t>В случае, изложенном в абзаце 4 п. 21 настоящего Порядка, должностное лицо государственной санитарно-эпидемиологической службы или государственной ветеринарной службы выдает предписание об устранении выявленных нарушений и осущест</w:t>
      </w:r>
      <w:r>
        <w:t>вляет контроль выполнения требований предписания.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740"/>
      </w:pPr>
      <w:r>
        <w:t xml:space="preserve">Действие эксплуатационного разрешения может быть временно приостановлено постановлением главного государственного санитарного врача или главного государственного ветеринарного инспектора административной </w:t>
      </w:r>
      <w:r>
        <w:t>территории или их заместителей на основании акта обследования (инспекции) мощностей (объектов).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 xml:space="preserve">Оператор мощности (объекта), действие эксплуатационного </w:t>
      </w:r>
      <w:proofErr w:type="gramStart"/>
      <w:r>
        <w:t>разрешения</w:t>
      </w:r>
      <w:proofErr w:type="gramEnd"/>
      <w:r>
        <w:t xml:space="preserve"> которого временно приостановлено, не имеет права осуществлять производство и/или оборот пищев</w:t>
      </w:r>
      <w:r>
        <w:t>ых продуктов на таких мощностях. Указанный оператор мощности (объекта) может подать заявление в учреждение государственной санитарно-эпидемиологической службы или государственной ветеринарной службы о возобновлении действия эксплуатационного разрешения пос</w:t>
      </w:r>
      <w:r>
        <w:t>ле устранения причин, послуживших основанием для такого приостановления.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>Возобновление действия временно приостановленного</w:t>
      </w:r>
    </w:p>
    <w:p w:rsidR="006E760A" w:rsidRDefault="00D765DA" w:rsidP="00797110">
      <w:pPr>
        <w:pStyle w:val="23"/>
        <w:shd w:val="clear" w:color="auto" w:fill="auto"/>
        <w:tabs>
          <w:tab w:val="left" w:pos="2436"/>
          <w:tab w:val="left" w:pos="4250"/>
          <w:tab w:val="left" w:pos="5225"/>
          <w:tab w:val="left" w:pos="6065"/>
          <w:tab w:val="left" w:pos="7457"/>
        </w:tabs>
        <w:spacing w:before="0" w:after="0" w:line="276" w:lineRule="auto"/>
      </w:pPr>
      <w:r>
        <w:t>эксплуатационного разрешения проводится по решению главного государственного</w:t>
      </w:r>
      <w:r>
        <w:tab/>
        <w:t>санитарного</w:t>
      </w:r>
      <w:r>
        <w:tab/>
        <w:t>врача</w:t>
      </w:r>
      <w:r>
        <w:tab/>
        <w:t>или</w:t>
      </w:r>
      <w:r>
        <w:tab/>
        <w:t>главного</w:t>
      </w:r>
      <w:r>
        <w:tab/>
        <w:t>государственного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lastRenderedPageBreak/>
        <w:t>ветерина</w:t>
      </w:r>
      <w:r>
        <w:t>рного инспектора административной территории или их заместителей на основании акта повторного обследования (инспекции) выполнения предписания об устранении выявленных нарушений.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>Действие эксплуатационного разрешения может быть отменено</w:t>
      </w:r>
    </w:p>
    <w:p w:rsidR="006E760A" w:rsidRDefault="00D765DA" w:rsidP="00797110">
      <w:pPr>
        <w:pStyle w:val="23"/>
        <w:shd w:val="clear" w:color="auto" w:fill="auto"/>
        <w:tabs>
          <w:tab w:val="left" w:pos="2436"/>
          <w:tab w:val="left" w:pos="4250"/>
          <w:tab w:val="left" w:pos="5225"/>
          <w:tab w:val="left" w:pos="6065"/>
          <w:tab w:val="left" w:pos="7457"/>
        </w:tabs>
        <w:spacing w:before="0" w:after="0" w:line="276" w:lineRule="auto"/>
      </w:pPr>
      <w:r>
        <w:t>постановлением об от</w:t>
      </w:r>
      <w:r>
        <w:t>мене действия эксплуатационного разрешения главного государственного</w:t>
      </w:r>
      <w:r>
        <w:tab/>
        <w:t>санитарного</w:t>
      </w:r>
      <w:r>
        <w:tab/>
        <w:t>врача</w:t>
      </w:r>
      <w:r>
        <w:tab/>
        <w:t>или</w:t>
      </w:r>
      <w:r>
        <w:tab/>
        <w:t>главного</w:t>
      </w:r>
      <w:r>
        <w:tab/>
        <w:t>государственного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ветеринарного инспектора административной территории или их заместителей в случае невыполнения в установленные сроки предписания об устране</w:t>
      </w:r>
      <w:r>
        <w:t>нии выявленных нарушений.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>Постановление об отмене эксплуатационного разрешения является основанием для исключения таких мощностей (объектов) из соответствующего реестра.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 xml:space="preserve">Оператор мощностей (объектов), эксплуатационное </w:t>
      </w:r>
      <w:proofErr w:type="gramStart"/>
      <w:r>
        <w:t>разрешение</w:t>
      </w:r>
      <w:proofErr w:type="gramEnd"/>
      <w:r>
        <w:t xml:space="preserve"> на которые было отменено, и</w:t>
      </w:r>
      <w:r>
        <w:t>меет право подавать заявление на выдачу нового эксплуатационного разрешения не раньше чем через 6 (шесть) месяцев после отмены предыдущего разрешения.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 xml:space="preserve">Оператор мощностей (объектов), эксплуатационное </w:t>
      </w:r>
      <w:proofErr w:type="gramStart"/>
      <w:r>
        <w:t>разрешение</w:t>
      </w:r>
      <w:proofErr w:type="gramEnd"/>
      <w:r>
        <w:t xml:space="preserve"> на которые было временно приостановлено или от</w:t>
      </w:r>
      <w:r>
        <w:t>менено, может обжаловать решение о временном приостановлении или отмене этого эксплуатационного разрешения у вышестоящего главного государственного санитарного врача или главного государственного ветеринарного инспектора, в течение 10 (десяти) дней после п</w:t>
      </w:r>
      <w:r>
        <w:t>олучения решения или в суде. Обжалование принятого решения не приостанавливает его действие.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566"/>
          <w:tab w:val="left" w:pos="8451"/>
        </w:tabs>
        <w:spacing w:before="0" w:after="0" w:line="276" w:lineRule="auto"/>
        <w:ind w:firstLine="740"/>
      </w:pPr>
      <w:r>
        <w:t>Информация о временном приостановлении</w:t>
      </w:r>
      <w:r>
        <w:tab/>
        <w:t>действия</w:t>
      </w:r>
    </w:p>
    <w:p w:rsidR="006E760A" w:rsidRDefault="00D765DA" w:rsidP="00797110">
      <w:pPr>
        <w:pStyle w:val="23"/>
        <w:shd w:val="clear" w:color="auto" w:fill="auto"/>
        <w:tabs>
          <w:tab w:val="left" w:pos="8451"/>
        </w:tabs>
        <w:spacing w:before="0" w:after="0" w:line="276" w:lineRule="auto"/>
      </w:pPr>
      <w:r>
        <w:t xml:space="preserve">эксплуатационного разрешения, </w:t>
      </w:r>
      <w:proofErr w:type="gramStart"/>
      <w:r>
        <w:t>возобновлении</w:t>
      </w:r>
      <w:proofErr w:type="gramEnd"/>
      <w:r>
        <w:t xml:space="preserve"> действия</w:t>
      </w:r>
      <w:r>
        <w:tab/>
        <w:t>временно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 xml:space="preserve">приостановленного эксплуатационного разрешения, об </w:t>
      </w:r>
      <w:r>
        <w:t>отмене действия эксплуатационного разрешения публикуется на официальных сайтах Министерства здравоохранения Донецкой Народной Республики и Министерства агропромышленной политики и продовольствия Донецкой Народной Республики.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276" w:lineRule="auto"/>
        <w:ind w:firstLine="740"/>
      </w:pPr>
      <w:r>
        <w:t>Основаниями для выдачи дубликат</w:t>
      </w:r>
      <w:r>
        <w:t>а эксплуатационного разрешения являются его потеря или повреждение.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В случае потери эксплуатационного разрешения оператор мощностей (объектов) обязан в течение пяти рабочих дней со дня наступления такого основания подать главному государственному санитарно</w:t>
      </w:r>
      <w:r>
        <w:t>му врачу или главному государственному ветеринарному инспектору административной территории заявление о выдаче дубликата.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В случае</w:t>
      </w:r>
      <w:proofErr w:type="gramStart"/>
      <w:r>
        <w:t>,</w:t>
      </w:r>
      <w:proofErr w:type="gramEnd"/>
      <w:r>
        <w:t xml:space="preserve"> если бланк эксплуатационного разрешения непригоден для </w:t>
      </w:r>
      <w:r>
        <w:lastRenderedPageBreak/>
        <w:t>использования вследствие его повреждения, оператор мощностей (объекто</w:t>
      </w:r>
      <w:r>
        <w:t>в) подает главному государственному санитарному врачу или главному государственному ветеринарному инспектору административной территории заявление о выдаче дубликата и непригодный для использования документ.</w:t>
      </w:r>
    </w:p>
    <w:p w:rsidR="006E760A" w:rsidRDefault="00D765DA" w:rsidP="00797110">
      <w:pPr>
        <w:pStyle w:val="23"/>
        <w:shd w:val="clear" w:color="auto" w:fill="auto"/>
        <w:tabs>
          <w:tab w:val="left" w:pos="2374"/>
          <w:tab w:val="left" w:pos="4118"/>
          <w:tab w:val="left" w:pos="5234"/>
          <w:tab w:val="left" w:pos="6070"/>
          <w:tab w:val="left" w:pos="7466"/>
        </w:tabs>
        <w:spacing w:before="0" w:after="0" w:line="276" w:lineRule="auto"/>
        <w:ind w:firstLine="740"/>
      </w:pPr>
      <w:proofErr w:type="gramStart"/>
      <w:r>
        <w:t>Оператор мощностей (объектов), подавший заявлени</w:t>
      </w:r>
      <w:r>
        <w:t>е и соответствующие документы для выдачи дубликата эксплуатационного разрешения вместо утраченного или поврежденного, осуществляет свою деятельность на основании копии заявления о выдаче дубликата, зарегистрированного главным государственным</w:t>
      </w:r>
      <w:r>
        <w:tab/>
        <w:t>санитарным</w:t>
      </w:r>
      <w:r>
        <w:tab/>
        <w:t>вра</w:t>
      </w:r>
      <w:r>
        <w:t>чом</w:t>
      </w:r>
      <w:r>
        <w:tab/>
        <w:t>или</w:t>
      </w:r>
      <w:r>
        <w:tab/>
        <w:t>главным</w:t>
      </w:r>
      <w:r>
        <w:tab/>
        <w:t>государственным</w:t>
      </w:r>
      <w:proofErr w:type="gramEnd"/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ветеринарным инспектором административной территории.</w:t>
      </w:r>
    </w:p>
    <w:p w:rsidR="006E760A" w:rsidRDefault="00D765DA" w:rsidP="00797110">
      <w:pPr>
        <w:pStyle w:val="23"/>
        <w:shd w:val="clear" w:color="auto" w:fill="auto"/>
        <w:tabs>
          <w:tab w:val="left" w:pos="4642"/>
          <w:tab w:val="left" w:pos="6529"/>
          <w:tab w:val="left" w:pos="8622"/>
        </w:tabs>
        <w:spacing w:before="0" w:after="0" w:line="276" w:lineRule="auto"/>
        <w:ind w:firstLine="740"/>
      </w:pPr>
      <w:r>
        <w:t>Главный государственный</w:t>
      </w:r>
      <w:r>
        <w:tab/>
        <w:t>санитарный</w:t>
      </w:r>
      <w:r>
        <w:tab/>
        <w:t>врач или</w:t>
      </w:r>
      <w:r>
        <w:tab/>
        <w:t>главный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>государственный ветеринарный инспектор в течение пяти рабочих дней со дня получения заявления о выдаче дубликата обяза</w:t>
      </w:r>
      <w:r>
        <w:t xml:space="preserve">н предоставить оператору мощностей (объектов) документ разрешительного характера </w:t>
      </w:r>
      <w:proofErr w:type="gramStart"/>
      <w:r>
        <w:t>вместо</w:t>
      </w:r>
      <w:proofErr w:type="gramEnd"/>
      <w:r>
        <w:t xml:space="preserve"> утраченного или поврежденного.</w:t>
      </w:r>
    </w:p>
    <w:p w:rsidR="006E760A" w:rsidRDefault="00D765DA" w:rsidP="00797110">
      <w:pPr>
        <w:pStyle w:val="23"/>
        <w:shd w:val="clear" w:color="auto" w:fill="auto"/>
        <w:tabs>
          <w:tab w:val="left" w:pos="2374"/>
          <w:tab w:val="left" w:pos="5234"/>
          <w:tab w:val="left" w:pos="6070"/>
          <w:tab w:val="left" w:pos="7466"/>
        </w:tabs>
        <w:spacing w:before="0" w:after="0" w:line="276" w:lineRule="auto"/>
        <w:ind w:firstLine="740"/>
      </w:pPr>
      <w:r>
        <w:t>В случае выдачи дубликата эксплуатационного разрешения главный государственный</w:t>
      </w:r>
      <w:r>
        <w:tab/>
        <w:t>санитарный врач</w:t>
      </w:r>
      <w:r>
        <w:tab/>
        <w:t>или</w:t>
      </w:r>
      <w:r>
        <w:tab/>
        <w:t>главный</w:t>
      </w:r>
      <w:r>
        <w:tab/>
        <w:t>государственный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</w:pPr>
      <w:r>
        <w:t xml:space="preserve">ветеринарный </w:t>
      </w:r>
      <w:r>
        <w:t>инспектор административной территории в течени</w:t>
      </w:r>
      <w:proofErr w:type="gramStart"/>
      <w:r>
        <w:t>и</w:t>
      </w:r>
      <w:proofErr w:type="gramEnd"/>
      <w:r>
        <w:t xml:space="preserve"> 2 (двух) рабочих дней подает письменное уведомление об этом учреждению, которое ведет реестр эксплуатационных разрешений. В течени</w:t>
      </w:r>
      <w:proofErr w:type="gramStart"/>
      <w:r>
        <w:t>и</w:t>
      </w:r>
      <w:proofErr w:type="gramEnd"/>
      <w:r>
        <w:t xml:space="preserve"> 2 (двух) рабочих дней с даты регистрации уведомления учреждение, которое вед</w:t>
      </w:r>
      <w:r>
        <w:t>ет реестр эксплуатационных разрешений, вносит соответствующую запись в реестр.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Плата за выдачу дубликата эксплуатационного разрешения не взимается.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276" w:lineRule="auto"/>
        <w:ind w:firstLine="740"/>
      </w:pPr>
      <w:r>
        <w:t>Основанием для переоформления эксплуатационного разрешения является изменение наименования оператора мощност</w:t>
      </w:r>
      <w:r>
        <w:t>ей (объектов).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Оператор мощностей (объектов) обязан в течение 5 (пяти) рабочих дней со дня наступления такого основания подать соответствующему главному государственному санитарному врачу или главному государственному ветеринарному инспектору заявление о п</w:t>
      </w:r>
      <w:r>
        <w:t>ереоформлении документа вместе с оригиналом эксплуатационного разрешения, который подлежит переоформлению, и соответствующий документ, подтверждающий указанные изменения (копия документа о государственной регистрации или иной документ, предусмотренный зако</w:t>
      </w:r>
      <w:r>
        <w:t>нодательством Донецкой Народной Республики).</w:t>
      </w:r>
      <w:proofErr w:type="gramEnd"/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Главный государственный санитарный врач или главный государственный ветеринарный инспектор в течение пяти рабочих дней со дня получения заявления о переоформлении и документов, прилагаемых к нему, обязан выдать </w:t>
      </w:r>
      <w:r>
        <w:t xml:space="preserve">переоформленное на новом бланке эксплуатационное разрешение </w:t>
      </w:r>
      <w:r>
        <w:lastRenderedPageBreak/>
        <w:t>с учетом изменений, указанных в заявлении.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Главный государственный санитарный врач или главный государственный ветеринарный инспектор не позднее следующего рабочего дня со дня переоформления в пис</w:t>
      </w:r>
      <w:r>
        <w:t>ьменной форме уведомляет об этом руководителя учреждения, которое ведет реестр эксплуатационных разрешений, для внесения соответствующих изменений в реестр.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Плата за переоформление эксплуатационных разрешений не взимается.</w:t>
      </w:r>
    </w:p>
    <w:p w:rsidR="006E760A" w:rsidRDefault="00D765DA" w:rsidP="00797110">
      <w:pPr>
        <w:pStyle w:val="23"/>
        <w:shd w:val="clear" w:color="auto" w:fill="auto"/>
        <w:spacing w:before="0" w:after="0" w:line="276" w:lineRule="auto"/>
        <w:ind w:firstLine="740"/>
      </w:pPr>
      <w:r>
        <w:t>Не переоформленное в установленны</w:t>
      </w:r>
      <w:r>
        <w:t>й срок эксплуатационное разрешение считается утратившим силу.</w:t>
      </w:r>
    </w:p>
    <w:p w:rsidR="006E760A" w:rsidRDefault="00D765DA" w:rsidP="00797110">
      <w:pPr>
        <w:pStyle w:val="23"/>
        <w:numPr>
          <w:ilvl w:val="0"/>
          <w:numId w:val="2"/>
        </w:numPr>
        <w:shd w:val="clear" w:color="auto" w:fill="auto"/>
        <w:tabs>
          <w:tab w:val="left" w:pos="1315"/>
        </w:tabs>
        <w:spacing w:before="0" w:after="0" w:line="276" w:lineRule="auto"/>
        <w:ind w:firstLine="740"/>
      </w:pPr>
      <w:r>
        <w:t>В случае передачи мощностей (объектов) другому субъекту хозяйствования оператор мощностей (объектов) обязан в течение 5 (пяти) рабочих дней после передачи в письменной форме сообщить об этом гла</w:t>
      </w:r>
      <w:r>
        <w:t>вному государственному санитарному врачу или главному государственному ветеринарному инспектору административной территории, на которой расположена мощность (объект).</w:t>
      </w:r>
    </w:p>
    <w:p w:rsidR="006E760A" w:rsidRDefault="00D765DA" w:rsidP="004F1929">
      <w:pPr>
        <w:pStyle w:val="23"/>
        <w:shd w:val="clear" w:color="auto" w:fill="auto"/>
        <w:tabs>
          <w:tab w:val="left" w:pos="7673"/>
        </w:tabs>
        <w:spacing w:before="0" w:after="0" w:line="276" w:lineRule="auto"/>
        <w:ind w:firstLine="740"/>
      </w:pPr>
      <w:proofErr w:type="gramStart"/>
      <w:r>
        <w:t xml:space="preserve">Главный </w:t>
      </w:r>
      <w:r w:rsidR="004F1929">
        <w:t xml:space="preserve">государственный санитарный врач </w:t>
      </w:r>
      <w:r>
        <w:t>или главный</w:t>
      </w:r>
      <w:r w:rsidR="004F1929">
        <w:t xml:space="preserve"> </w:t>
      </w:r>
      <w:r>
        <w:t>государственный ветеринарный инспекто</w:t>
      </w:r>
      <w:r>
        <w:t>р не позднее 2 (двух) рабочих дней со дня получения письменного сообщения принимает решение о признании утратившим сил</w:t>
      </w:r>
      <w:r w:rsidR="004F1929">
        <w:t xml:space="preserve">у эксплуатационного разрешения, </w:t>
      </w:r>
      <w:r>
        <w:t>с внесением</w:t>
      </w:r>
      <w:r w:rsidR="004F1929">
        <w:t xml:space="preserve"> </w:t>
      </w:r>
      <w:r>
        <w:t>соответствующих изменений в реестр эксплуатационных разрешений.</w:t>
      </w:r>
      <w:proofErr w:type="gramEnd"/>
    </w:p>
    <w:p w:rsidR="00924CBF" w:rsidRDefault="00924CBF" w:rsidP="004F1929">
      <w:pPr>
        <w:pStyle w:val="23"/>
        <w:shd w:val="clear" w:color="auto" w:fill="auto"/>
        <w:tabs>
          <w:tab w:val="left" w:pos="7673"/>
        </w:tabs>
        <w:spacing w:before="0" w:after="0" w:line="276" w:lineRule="auto"/>
        <w:ind w:firstLine="740"/>
      </w:pPr>
    </w:p>
    <w:p w:rsidR="00924CBF" w:rsidRDefault="00924CBF" w:rsidP="004F1929">
      <w:pPr>
        <w:pStyle w:val="23"/>
        <w:shd w:val="clear" w:color="auto" w:fill="auto"/>
        <w:tabs>
          <w:tab w:val="left" w:pos="7673"/>
        </w:tabs>
        <w:spacing w:before="0" w:after="0" w:line="276" w:lineRule="auto"/>
        <w:ind w:firstLine="740"/>
      </w:pPr>
    </w:p>
    <w:p w:rsidR="00924CBF" w:rsidRDefault="00924CBF" w:rsidP="00924CBF">
      <w:pPr>
        <w:pStyle w:val="23"/>
        <w:shd w:val="clear" w:color="auto" w:fill="auto"/>
        <w:tabs>
          <w:tab w:val="left" w:pos="7673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686800"/>
            <wp:effectExtent l="0" t="0" r="0" b="0"/>
            <wp:docPr id="1" name="Рисунок 1" descr="C:\Users\user\Desktop\доки\постановления совета министров\03.06\П 5-8\Postanov_N5_8_2903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3.06\П 5-8\Postanov_N5_8_290320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83A" w:rsidRDefault="0023683A">
      <w:pPr>
        <w:pStyle w:val="23"/>
        <w:shd w:val="clear" w:color="auto" w:fill="auto"/>
        <w:tabs>
          <w:tab w:val="left" w:pos="7673"/>
        </w:tabs>
        <w:spacing w:before="0" w:after="0" w:line="276" w:lineRule="auto"/>
      </w:pPr>
    </w:p>
    <w:sectPr w:rsidR="0023683A">
      <w:headerReference w:type="default" r:id="rId12"/>
      <w:pgSz w:w="11900" w:h="16840"/>
      <w:pgMar w:top="1267" w:right="533" w:bottom="1393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5DA" w:rsidRDefault="00D765DA">
      <w:r>
        <w:separator/>
      </w:r>
    </w:p>
  </w:endnote>
  <w:endnote w:type="continuationSeparator" w:id="0">
    <w:p w:rsidR="00D765DA" w:rsidRDefault="00D7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5DA" w:rsidRDefault="00D765DA"/>
  </w:footnote>
  <w:footnote w:type="continuationSeparator" w:id="0">
    <w:p w:rsidR="00D765DA" w:rsidRDefault="00D765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0A" w:rsidRDefault="00D765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pt;margin-top:37.7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E760A" w:rsidRDefault="00D765DA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3069B" w:rsidRPr="0023069B">
                  <w:rPr>
                    <w:rStyle w:val="a9"/>
                    <w:noProof/>
                  </w:rPr>
                  <w:t>9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12AFC"/>
    <w:multiLevelType w:val="multilevel"/>
    <w:tmpl w:val="945AB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50327A"/>
    <w:multiLevelType w:val="multilevel"/>
    <w:tmpl w:val="6A220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760A"/>
    <w:rsid w:val="0023069B"/>
    <w:rsid w:val="0023683A"/>
    <w:rsid w:val="004E3856"/>
    <w:rsid w:val="004F1929"/>
    <w:rsid w:val="006E760A"/>
    <w:rsid w:val="00797110"/>
    <w:rsid w:val="00924CBF"/>
    <w:rsid w:val="00D7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480" w:after="7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46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0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24CBF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4CB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bezopasnosti-i-kachestve-pishhevyh-produktov-prinyat-postanovleniem-narodnogo-soveta-08-04-2016g-razmeshhen-26-04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bezopasnosti-i-kachestve-pishhevyh-produktov-prinyat-postanovleniem-narodnogo-soveta-08-04-2016g-razmeshhen-26-04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3021</Words>
  <Characters>17222</Characters>
  <Application>Microsoft Office Word</Application>
  <DocSecurity>0</DocSecurity>
  <Lines>143</Lines>
  <Paragraphs>40</Paragraphs>
  <ScaleCrop>false</ScaleCrop>
  <Company/>
  <LinksUpToDate>false</LinksUpToDate>
  <CharactersWithSpaces>20203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2019-06-03T12:58:00Z</dcterms:created>
  <dcterms:modified xsi:type="dcterms:W3CDTF">2019-06-03T13:10:00Z</dcterms:modified>
</cp:coreProperties>
</file>