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45" w:rsidRPr="001B2845" w:rsidRDefault="001B2845" w:rsidP="001B2845">
      <w:pPr>
        <w:suppressLineNumbers w:val="0"/>
        <w:tabs>
          <w:tab w:val="left" w:pos="4111"/>
        </w:tabs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1B2845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01DE4AE" wp14:editId="65DAA8B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45" w:rsidRPr="001B2845" w:rsidRDefault="008D4615" w:rsidP="001B2845">
      <w:pPr>
        <w:suppressLineNumbers w:val="0"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bookmarkStart w:id="0" w:name="_GoBack"/>
      <w:r w:rsidRPr="001B2845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bookmarkEnd w:id="0"/>
    <w:p w:rsidR="001B2845" w:rsidRPr="001B2845" w:rsidRDefault="001B2845" w:rsidP="001B2845">
      <w:pPr>
        <w:widowControl/>
        <w:suppressLineNumbers w:val="0"/>
        <w:suppressAutoHyphens w:val="0"/>
        <w:spacing w:line="276" w:lineRule="auto"/>
        <w:jc w:val="center"/>
        <w:rPr>
          <w:rFonts w:eastAsia="Times New Roman"/>
          <w:b/>
          <w:bCs/>
          <w:caps/>
          <w:kern w:val="0"/>
          <w:sz w:val="28"/>
          <w:szCs w:val="28"/>
          <w:shd w:val="clear" w:color="auto" w:fill="FFFFFF"/>
          <w:lang w:eastAsia="en-US"/>
        </w:rPr>
      </w:pPr>
      <w:r w:rsidRPr="001B2845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1B2845" w:rsidRPr="001B2845" w:rsidRDefault="001B2845" w:rsidP="001B2845">
      <w:pPr>
        <w:widowControl/>
        <w:suppressLineNumbers w:val="0"/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8"/>
          <w:shd w:val="clear" w:color="auto" w:fill="FFFFFF"/>
          <w:lang w:eastAsia="en-US"/>
        </w:rPr>
      </w:pPr>
    </w:p>
    <w:p w:rsidR="001B2845" w:rsidRPr="001B2845" w:rsidRDefault="001B2845" w:rsidP="001B2845">
      <w:pPr>
        <w:widowControl/>
        <w:suppressLineNumbers w:val="0"/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8"/>
          <w:shd w:val="clear" w:color="auto" w:fill="FFFFFF"/>
        </w:rPr>
      </w:pPr>
    </w:p>
    <w:p w:rsidR="001B2845" w:rsidRPr="001B2845" w:rsidRDefault="00FB6D4D" w:rsidP="001B2845">
      <w:pPr>
        <w:jc w:val="center"/>
        <w:rPr>
          <w:rFonts w:eastAsia="Calibri"/>
          <w:b/>
          <w:caps/>
          <w:kern w:val="0"/>
          <w:sz w:val="28"/>
          <w:szCs w:val="28"/>
          <w:lang w:eastAsia="en-US"/>
        </w:rPr>
      </w:pPr>
      <w:r w:rsidRPr="004179CB">
        <w:rPr>
          <w:b/>
          <w:bCs/>
          <w:sz w:val="28"/>
          <w:szCs w:val="28"/>
        </w:rPr>
        <w:t xml:space="preserve">О </w:t>
      </w:r>
      <w:r w:rsidR="000007EA">
        <w:rPr>
          <w:b/>
          <w:bCs/>
          <w:sz w:val="28"/>
          <w:szCs w:val="28"/>
        </w:rPr>
        <w:t>ВНЕСЕНИИ ИЗМЕНЕНИЯ</w:t>
      </w:r>
      <w:r w:rsidR="00FB7054">
        <w:rPr>
          <w:b/>
          <w:bCs/>
          <w:sz w:val="28"/>
          <w:szCs w:val="28"/>
        </w:rPr>
        <w:t xml:space="preserve"> В ЗАКОН ДОНЕЦКОЙ НАРОДНОЙ РЕСПУБЛИКИ «О СУДЕБНОЙ СИСТЕМЕ ДОНЕЦКОЙ НАРОДНОЙ РЕСПУБЛИКИ»</w:t>
      </w:r>
      <w:r w:rsidR="001B2845" w:rsidRPr="001B2845">
        <w:rPr>
          <w:rFonts w:eastAsia="Calibri"/>
          <w:b/>
          <w:caps/>
          <w:kern w:val="0"/>
          <w:sz w:val="28"/>
          <w:szCs w:val="28"/>
          <w:lang w:eastAsia="en-US"/>
        </w:rPr>
        <w:t xml:space="preserve"> </w:t>
      </w:r>
    </w:p>
    <w:p w:rsidR="001B2845" w:rsidRPr="001B2845" w:rsidRDefault="001B2845" w:rsidP="001B2845">
      <w:pPr>
        <w:widowControl/>
        <w:suppressLineNumbers w:val="0"/>
        <w:suppressAutoHyphens w:val="0"/>
        <w:jc w:val="center"/>
        <w:rPr>
          <w:rFonts w:eastAsia="Calibri"/>
          <w:b/>
          <w:caps/>
          <w:kern w:val="0"/>
          <w:sz w:val="28"/>
          <w:szCs w:val="28"/>
          <w:lang w:eastAsia="en-US"/>
        </w:rPr>
      </w:pPr>
    </w:p>
    <w:p w:rsidR="001B2845" w:rsidRPr="001B2845" w:rsidRDefault="001B2845" w:rsidP="001B2845">
      <w:pPr>
        <w:widowControl/>
        <w:suppressLineNumbers w:val="0"/>
        <w:suppressAutoHyphens w:val="0"/>
        <w:jc w:val="center"/>
        <w:rPr>
          <w:rFonts w:eastAsia="Calibri"/>
          <w:b/>
          <w:caps/>
          <w:kern w:val="0"/>
          <w:sz w:val="28"/>
          <w:szCs w:val="28"/>
          <w:lang w:eastAsia="en-US"/>
        </w:rPr>
      </w:pPr>
    </w:p>
    <w:p w:rsidR="001B2845" w:rsidRPr="001B2845" w:rsidRDefault="001B2845" w:rsidP="001B2845">
      <w:pPr>
        <w:widowControl/>
        <w:suppressLineNumbers w:val="0"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1B2845">
        <w:rPr>
          <w:rFonts w:eastAsia="Calibri"/>
          <w:b/>
          <w:kern w:val="0"/>
          <w:sz w:val="28"/>
          <w:szCs w:val="28"/>
          <w:lang w:eastAsia="en-US"/>
        </w:rPr>
        <w:t xml:space="preserve">Принят Постановлением Народного Совета </w:t>
      </w:r>
      <w:r>
        <w:rPr>
          <w:rFonts w:eastAsia="Calibri"/>
          <w:b/>
          <w:kern w:val="0"/>
          <w:sz w:val="28"/>
          <w:szCs w:val="28"/>
          <w:lang w:eastAsia="en-US"/>
        </w:rPr>
        <w:t>12</w:t>
      </w:r>
      <w:r w:rsidRPr="001B2845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0"/>
          <w:sz w:val="28"/>
          <w:szCs w:val="28"/>
          <w:lang w:eastAsia="en-US"/>
        </w:rPr>
        <w:t>июня</w:t>
      </w:r>
      <w:r w:rsidRPr="001B2845">
        <w:rPr>
          <w:rFonts w:eastAsia="Calibri"/>
          <w:b/>
          <w:kern w:val="0"/>
          <w:sz w:val="28"/>
          <w:szCs w:val="28"/>
          <w:lang w:eastAsia="en-US"/>
        </w:rPr>
        <w:t xml:space="preserve"> 2019 года</w:t>
      </w:r>
    </w:p>
    <w:p w:rsidR="001B2845" w:rsidRPr="001B2845" w:rsidRDefault="001B2845" w:rsidP="001B2845">
      <w:pPr>
        <w:widowControl/>
        <w:suppressLineNumbers w:val="0"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1B2845" w:rsidRPr="001B2845" w:rsidRDefault="001B2845" w:rsidP="001B2845">
      <w:pPr>
        <w:widowControl/>
        <w:suppressLineNumbers w:val="0"/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8"/>
          <w:shd w:val="clear" w:color="auto" w:fill="FFFFFF"/>
        </w:rPr>
      </w:pPr>
    </w:p>
    <w:p w:rsidR="003146C8" w:rsidRPr="00676D59" w:rsidRDefault="00CE32B7" w:rsidP="001B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C442A3">
        <w:rPr>
          <w:b/>
          <w:bCs/>
          <w:sz w:val="28"/>
          <w:szCs w:val="28"/>
        </w:rPr>
        <w:t> </w:t>
      </w:r>
      <w:r w:rsidR="003146C8" w:rsidRPr="00676D59">
        <w:rPr>
          <w:b/>
          <w:bCs/>
          <w:sz w:val="28"/>
          <w:szCs w:val="28"/>
        </w:rPr>
        <w:t>1</w:t>
      </w:r>
    </w:p>
    <w:p w:rsidR="00F36532" w:rsidRPr="008B7FD7" w:rsidRDefault="00F36532" w:rsidP="001B2845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8B7FD7">
        <w:rPr>
          <w:color w:val="000000"/>
          <w:sz w:val="28"/>
          <w:szCs w:val="28"/>
        </w:rPr>
        <w:t xml:space="preserve">Внести в </w:t>
      </w:r>
      <w:r w:rsidR="009E1FEC" w:rsidRPr="00676D59">
        <w:rPr>
          <w:color w:val="000000"/>
          <w:sz w:val="28"/>
          <w:szCs w:val="28"/>
        </w:rPr>
        <w:t xml:space="preserve">заключительные и переходные положения </w:t>
      </w:r>
      <w:hyperlink r:id="rId9" w:history="1">
        <w:r w:rsidRPr="00DC58DD">
          <w:rPr>
            <w:rStyle w:val="af0"/>
            <w:sz w:val="28"/>
            <w:szCs w:val="28"/>
          </w:rPr>
          <w:t>Закон</w:t>
        </w:r>
        <w:r w:rsidR="009E1FEC" w:rsidRPr="00DC58DD">
          <w:rPr>
            <w:rStyle w:val="af0"/>
            <w:sz w:val="28"/>
            <w:szCs w:val="28"/>
          </w:rPr>
          <w:t>а</w:t>
        </w:r>
        <w:r w:rsidRPr="00DC58DD">
          <w:rPr>
            <w:rStyle w:val="af0"/>
            <w:sz w:val="28"/>
            <w:szCs w:val="28"/>
          </w:rPr>
          <w:t xml:space="preserve"> Донецкой Народной Республики от 31 августа 2018 года № 241-IHC «О судебной системе Донецкой Народной Республики»</w:t>
        </w:r>
      </w:hyperlink>
      <w:r w:rsidRPr="008B7FD7">
        <w:rPr>
          <w:color w:val="000000"/>
          <w:sz w:val="28"/>
          <w:szCs w:val="28"/>
        </w:rPr>
        <w:t xml:space="preserve"> (</w:t>
      </w:r>
      <w:proofErr w:type="gramStart"/>
      <w:r w:rsidRPr="008B7FD7">
        <w:rPr>
          <w:color w:val="000000"/>
          <w:sz w:val="28"/>
          <w:szCs w:val="28"/>
        </w:rPr>
        <w:t>опубликован</w:t>
      </w:r>
      <w:proofErr w:type="gramEnd"/>
      <w:r w:rsidRPr="008B7FD7">
        <w:rPr>
          <w:color w:val="000000"/>
          <w:sz w:val="28"/>
          <w:szCs w:val="28"/>
        </w:rPr>
        <w:t xml:space="preserve"> на официальном сайте Народного Совета Донецкой Народной Республики 10 сентября 2018 года) </w:t>
      </w:r>
      <w:r w:rsidR="009E1FEC" w:rsidRPr="008B7FD7">
        <w:rPr>
          <w:color w:val="000000"/>
          <w:sz w:val="28"/>
          <w:szCs w:val="28"/>
        </w:rPr>
        <w:t>изменени</w:t>
      </w:r>
      <w:r w:rsidR="000007EA">
        <w:rPr>
          <w:color w:val="000000"/>
          <w:sz w:val="28"/>
          <w:szCs w:val="28"/>
        </w:rPr>
        <w:t>е</w:t>
      </w:r>
      <w:r w:rsidR="00676D59" w:rsidRPr="008B7FD7">
        <w:rPr>
          <w:color w:val="000000"/>
          <w:sz w:val="28"/>
          <w:szCs w:val="28"/>
        </w:rPr>
        <w:t xml:space="preserve">, дополнив </w:t>
      </w:r>
      <w:r w:rsidR="00EC6B86">
        <w:rPr>
          <w:color w:val="000000"/>
          <w:sz w:val="28"/>
          <w:szCs w:val="28"/>
        </w:rPr>
        <w:t xml:space="preserve">их </w:t>
      </w:r>
      <w:r w:rsidR="00676D59" w:rsidRPr="00676D59">
        <w:rPr>
          <w:sz w:val="28"/>
          <w:szCs w:val="28"/>
        </w:rPr>
        <w:t>частью 16 следующего содержания</w:t>
      </w:r>
      <w:r w:rsidRPr="008B7FD7">
        <w:rPr>
          <w:color w:val="000000"/>
          <w:sz w:val="28"/>
          <w:szCs w:val="28"/>
        </w:rPr>
        <w:t>:</w:t>
      </w:r>
    </w:p>
    <w:p w:rsidR="00FB7054" w:rsidRPr="00EC6B86" w:rsidRDefault="007B36B1" w:rsidP="001B2845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676D59">
        <w:rPr>
          <w:bCs/>
          <w:sz w:val="28"/>
          <w:szCs w:val="28"/>
        </w:rPr>
        <w:t>«</w:t>
      </w:r>
      <w:r w:rsidR="00CE32B7">
        <w:rPr>
          <w:sz w:val="28"/>
          <w:szCs w:val="28"/>
        </w:rPr>
        <w:t>16.</w:t>
      </w:r>
      <w:r w:rsidR="003C08DE">
        <w:rPr>
          <w:sz w:val="28"/>
          <w:szCs w:val="28"/>
        </w:rPr>
        <w:t> </w:t>
      </w:r>
      <w:r w:rsidR="00FB7054" w:rsidRPr="00676D59">
        <w:rPr>
          <w:sz w:val="28"/>
          <w:szCs w:val="28"/>
        </w:rPr>
        <w:t xml:space="preserve">До заключения международных договоров Донецкой Народной Республики, в соответствии с которыми решения судов иностранных государств, международных судов и арбитражей признаются обязательными на территории Донецкой Народной Республики, признание и исполнение </w:t>
      </w:r>
      <w:r w:rsidR="00E43A24" w:rsidRPr="00676D59">
        <w:rPr>
          <w:sz w:val="28"/>
          <w:szCs w:val="28"/>
        </w:rPr>
        <w:t xml:space="preserve">таких </w:t>
      </w:r>
      <w:r w:rsidR="00FB7054" w:rsidRPr="00676D59">
        <w:rPr>
          <w:sz w:val="28"/>
          <w:szCs w:val="28"/>
        </w:rPr>
        <w:t>решений на территории Донецкой Народной Республик</w:t>
      </w:r>
      <w:r w:rsidR="00EC6B86">
        <w:rPr>
          <w:sz w:val="28"/>
          <w:szCs w:val="28"/>
        </w:rPr>
        <w:t>и</w:t>
      </w:r>
      <w:r w:rsidR="00FB7054" w:rsidRPr="00676D59">
        <w:rPr>
          <w:sz w:val="28"/>
          <w:szCs w:val="28"/>
        </w:rPr>
        <w:t xml:space="preserve"> осуществля</w:t>
      </w:r>
      <w:r w:rsidR="00F66939">
        <w:rPr>
          <w:sz w:val="28"/>
          <w:szCs w:val="28"/>
        </w:rPr>
        <w:t>ю</w:t>
      </w:r>
      <w:r w:rsidR="00FB7054" w:rsidRPr="00676D59">
        <w:rPr>
          <w:sz w:val="28"/>
          <w:szCs w:val="28"/>
        </w:rPr>
        <w:t>тся на основании указов Главы Донецкой Народной Республики.</w:t>
      </w:r>
      <w:r w:rsidR="009E1FEC" w:rsidRPr="00676D59">
        <w:rPr>
          <w:sz w:val="28"/>
          <w:szCs w:val="28"/>
        </w:rPr>
        <w:t>».</w:t>
      </w:r>
    </w:p>
    <w:p w:rsidR="00FB7054" w:rsidRPr="00CE32B7" w:rsidRDefault="00CE32B7" w:rsidP="001B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C442A3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2</w:t>
      </w:r>
    </w:p>
    <w:p w:rsidR="001B2845" w:rsidRPr="001B2845" w:rsidRDefault="00676D59" w:rsidP="00F21EC1">
      <w:pPr>
        <w:spacing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676D59">
        <w:rPr>
          <w:sz w:val="28"/>
          <w:szCs w:val="28"/>
        </w:rPr>
        <w:t>Н</w:t>
      </w:r>
      <w:r w:rsidR="00FB7054" w:rsidRPr="00676D59">
        <w:rPr>
          <w:sz w:val="28"/>
          <w:szCs w:val="28"/>
        </w:rPr>
        <w:t>астоящ</w:t>
      </w:r>
      <w:r w:rsidRPr="00676D59">
        <w:rPr>
          <w:sz w:val="28"/>
          <w:szCs w:val="28"/>
        </w:rPr>
        <w:t>ий</w:t>
      </w:r>
      <w:r w:rsidR="00FB7054" w:rsidRPr="00676D59">
        <w:rPr>
          <w:sz w:val="28"/>
          <w:szCs w:val="28"/>
        </w:rPr>
        <w:t xml:space="preserve"> Закон распространяется на правоотношения, возникшие до вступления </w:t>
      </w:r>
      <w:r w:rsidR="009E1FEC" w:rsidRPr="00676D59">
        <w:rPr>
          <w:sz w:val="28"/>
          <w:szCs w:val="28"/>
        </w:rPr>
        <w:t>его</w:t>
      </w:r>
      <w:r w:rsidR="00FB7054" w:rsidRPr="00676D59">
        <w:rPr>
          <w:sz w:val="28"/>
          <w:szCs w:val="28"/>
        </w:rPr>
        <w:t xml:space="preserve"> в силу.</w:t>
      </w:r>
      <w:r w:rsidR="001B2845" w:rsidRPr="001B2845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1B2845" w:rsidRPr="00F21EC1" w:rsidRDefault="001B2845" w:rsidP="001B2845">
      <w:pPr>
        <w:widowControl/>
        <w:suppressLineNumbers w:val="0"/>
        <w:suppressAutoHyphens w:val="0"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</w:p>
    <w:p w:rsidR="001B2845" w:rsidRPr="00F21EC1" w:rsidRDefault="001B2845" w:rsidP="001B2845">
      <w:pPr>
        <w:widowControl/>
        <w:suppressLineNumbers w:val="0"/>
        <w:suppressAutoHyphens w:val="0"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</w:p>
    <w:p w:rsidR="00F21EC1" w:rsidRPr="00F21EC1" w:rsidRDefault="00F21EC1" w:rsidP="001B2845">
      <w:pPr>
        <w:widowControl/>
        <w:suppressLineNumbers w:val="0"/>
        <w:suppressAutoHyphens w:val="0"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</w:p>
    <w:p w:rsidR="001B2845" w:rsidRPr="001B2845" w:rsidRDefault="001B2845" w:rsidP="001B2845">
      <w:pPr>
        <w:suppressLineNumbers w:val="0"/>
        <w:autoSpaceDN w:val="0"/>
        <w:ind w:right="-284"/>
        <w:jc w:val="both"/>
        <w:textAlignment w:val="baseline"/>
        <w:rPr>
          <w:rFonts w:eastAsia="Calibri" w:cs="Mangal"/>
          <w:kern w:val="3"/>
          <w:sz w:val="28"/>
          <w:szCs w:val="28"/>
          <w:lang w:eastAsia="zh-CN" w:bidi="hi-IN"/>
        </w:rPr>
      </w:pPr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 xml:space="preserve">Глава </w:t>
      </w:r>
    </w:p>
    <w:p w:rsidR="001B2845" w:rsidRPr="001B2845" w:rsidRDefault="001B2845" w:rsidP="001B2845">
      <w:pPr>
        <w:suppressLineNumbers w:val="0"/>
        <w:autoSpaceDN w:val="0"/>
        <w:spacing w:after="120"/>
        <w:ind w:right="-284"/>
        <w:jc w:val="both"/>
        <w:textAlignment w:val="baseline"/>
        <w:rPr>
          <w:rFonts w:eastAsia="Calibri" w:cs="Mangal"/>
          <w:kern w:val="3"/>
          <w:sz w:val="28"/>
          <w:szCs w:val="28"/>
          <w:lang w:eastAsia="zh-CN" w:bidi="hi-IN"/>
        </w:rPr>
      </w:pPr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ab/>
      </w:r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ab/>
      </w:r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ab/>
      </w:r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ab/>
      </w:r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ab/>
        <w:t xml:space="preserve">   Д.</w:t>
      </w:r>
      <w:r w:rsidR="00CB16B8">
        <w:rPr>
          <w:rFonts w:eastAsia="Calibri" w:cs="Mangal"/>
          <w:kern w:val="3"/>
          <w:sz w:val="28"/>
          <w:szCs w:val="28"/>
          <w:lang w:eastAsia="zh-CN" w:bidi="hi-IN"/>
        </w:rPr>
        <w:t xml:space="preserve"> </w:t>
      </w:r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1B2845" w:rsidRPr="001B2845" w:rsidRDefault="001B2845" w:rsidP="001B2845">
      <w:pPr>
        <w:suppressLineNumbers w:val="0"/>
        <w:autoSpaceDN w:val="0"/>
        <w:spacing w:after="120"/>
        <w:ind w:right="-1"/>
        <w:jc w:val="both"/>
        <w:textAlignment w:val="baseline"/>
        <w:rPr>
          <w:rFonts w:eastAsia="Calibri" w:cs="Mangal"/>
          <w:kern w:val="3"/>
          <w:sz w:val="28"/>
          <w:szCs w:val="28"/>
          <w:lang w:eastAsia="zh-CN" w:bidi="hi-IN"/>
        </w:rPr>
      </w:pPr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>г. Донецк</w:t>
      </w:r>
    </w:p>
    <w:p w:rsidR="001B2845" w:rsidRPr="001B2845" w:rsidRDefault="00A767D6" w:rsidP="001B2845">
      <w:pPr>
        <w:suppressLineNumbers w:val="0"/>
        <w:autoSpaceDN w:val="0"/>
        <w:spacing w:after="120"/>
        <w:ind w:right="-1"/>
        <w:jc w:val="both"/>
        <w:textAlignment w:val="baseline"/>
        <w:rPr>
          <w:rFonts w:eastAsia="Calibri" w:cs="Mangal"/>
          <w:kern w:val="3"/>
          <w:sz w:val="28"/>
          <w:szCs w:val="28"/>
          <w:lang w:eastAsia="zh-CN" w:bidi="hi-IN"/>
        </w:rPr>
      </w:pPr>
      <w:r>
        <w:rPr>
          <w:rFonts w:eastAsia="Calibri" w:cs="Mangal"/>
          <w:kern w:val="3"/>
          <w:sz w:val="28"/>
          <w:szCs w:val="28"/>
          <w:lang w:eastAsia="zh-CN" w:bidi="hi-IN"/>
        </w:rPr>
        <w:t>19 июня</w:t>
      </w:r>
      <w:r w:rsidR="001B2845" w:rsidRPr="001B2845">
        <w:rPr>
          <w:rFonts w:eastAsia="Calibri" w:cs="Mangal"/>
          <w:kern w:val="3"/>
          <w:sz w:val="28"/>
          <w:szCs w:val="28"/>
          <w:lang w:eastAsia="zh-CN" w:bidi="hi-IN"/>
        </w:rPr>
        <w:t xml:space="preserve"> 2019 года</w:t>
      </w:r>
    </w:p>
    <w:p w:rsidR="001B2845" w:rsidRPr="001B2845" w:rsidRDefault="001B2845" w:rsidP="001B2845">
      <w:pPr>
        <w:suppressLineNumbers w:val="0"/>
        <w:tabs>
          <w:tab w:val="left" w:pos="7797"/>
        </w:tabs>
        <w:autoSpaceDN w:val="0"/>
        <w:spacing w:after="120"/>
        <w:jc w:val="both"/>
        <w:textAlignment w:val="baseline"/>
        <w:rPr>
          <w:rFonts w:eastAsia="Calibri" w:cs="Mangal"/>
          <w:color w:val="000000"/>
          <w:kern w:val="3"/>
          <w:sz w:val="22"/>
          <w:szCs w:val="22"/>
          <w:lang w:eastAsia="zh-CN" w:bidi="hi-IN"/>
        </w:rPr>
      </w:pPr>
      <w:r w:rsidRPr="001B2845">
        <w:rPr>
          <w:rFonts w:eastAsia="Calibri" w:cs="Mangal"/>
          <w:kern w:val="3"/>
          <w:sz w:val="28"/>
          <w:szCs w:val="28"/>
          <w:lang w:eastAsia="zh-CN" w:bidi="hi-IN"/>
        </w:rPr>
        <w:t xml:space="preserve">№ </w:t>
      </w:r>
      <w:r w:rsidR="00A767D6">
        <w:rPr>
          <w:rFonts w:eastAsia="Calibri" w:cs="Mangal"/>
          <w:kern w:val="3"/>
          <w:sz w:val="28"/>
          <w:szCs w:val="28"/>
          <w:lang w:eastAsia="zh-CN" w:bidi="hi-IN"/>
        </w:rPr>
        <w:t>40-IIНС</w:t>
      </w:r>
    </w:p>
    <w:sectPr w:rsidR="001B2845" w:rsidRPr="001B2845" w:rsidSect="00F21EC1">
      <w:headerReference w:type="default" r:id="rId10"/>
      <w:pgSz w:w="11906" w:h="16838"/>
      <w:pgMar w:top="851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E7" w:rsidRDefault="006F34E7" w:rsidP="004168F9">
      <w:r>
        <w:separator/>
      </w:r>
    </w:p>
  </w:endnote>
  <w:endnote w:type="continuationSeparator" w:id="0">
    <w:p w:rsidR="006F34E7" w:rsidRDefault="006F34E7" w:rsidP="0041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E7" w:rsidRDefault="006F34E7" w:rsidP="004168F9">
      <w:r>
        <w:separator/>
      </w:r>
    </w:p>
  </w:footnote>
  <w:footnote w:type="continuationSeparator" w:id="0">
    <w:p w:rsidR="006F34E7" w:rsidRDefault="006F34E7" w:rsidP="0041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F9" w:rsidRPr="004168F9" w:rsidRDefault="004168F9" w:rsidP="004168F9">
    <w:pPr>
      <w:pStyle w:val="a7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1B284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CB"/>
    <w:rsid w:val="00000392"/>
    <w:rsid w:val="000007EA"/>
    <w:rsid w:val="00011999"/>
    <w:rsid w:val="00015B17"/>
    <w:rsid w:val="00017225"/>
    <w:rsid w:val="00023482"/>
    <w:rsid w:val="0005779E"/>
    <w:rsid w:val="000A10E7"/>
    <w:rsid w:val="000A37EA"/>
    <w:rsid w:val="000B3F67"/>
    <w:rsid w:val="000B41EA"/>
    <w:rsid w:val="000C02A7"/>
    <w:rsid w:val="000C5A8B"/>
    <w:rsid w:val="000D7F4C"/>
    <w:rsid w:val="000E7B6E"/>
    <w:rsid w:val="0010352F"/>
    <w:rsid w:val="00107588"/>
    <w:rsid w:val="00116B29"/>
    <w:rsid w:val="00117A8F"/>
    <w:rsid w:val="00131260"/>
    <w:rsid w:val="001371ED"/>
    <w:rsid w:val="0014237C"/>
    <w:rsid w:val="001471B7"/>
    <w:rsid w:val="00171793"/>
    <w:rsid w:val="00175BA5"/>
    <w:rsid w:val="00180FFD"/>
    <w:rsid w:val="001A4699"/>
    <w:rsid w:val="001B166B"/>
    <w:rsid w:val="001B2845"/>
    <w:rsid w:val="001C0E8A"/>
    <w:rsid w:val="001D53E6"/>
    <w:rsid w:val="001F236C"/>
    <w:rsid w:val="00203065"/>
    <w:rsid w:val="00220334"/>
    <w:rsid w:val="00222448"/>
    <w:rsid w:val="00232627"/>
    <w:rsid w:val="00236FD4"/>
    <w:rsid w:val="002370FC"/>
    <w:rsid w:val="0024123A"/>
    <w:rsid w:val="00253B2A"/>
    <w:rsid w:val="00255D4E"/>
    <w:rsid w:val="00264FE0"/>
    <w:rsid w:val="0027152E"/>
    <w:rsid w:val="00297F13"/>
    <w:rsid w:val="002A1E90"/>
    <w:rsid w:val="002E3F78"/>
    <w:rsid w:val="002F5F7D"/>
    <w:rsid w:val="003146C8"/>
    <w:rsid w:val="00336197"/>
    <w:rsid w:val="003413FC"/>
    <w:rsid w:val="003607C5"/>
    <w:rsid w:val="003873B3"/>
    <w:rsid w:val="003A7E4D"/>
    <w:rsid w:val="003B2554"/>
    <w:rsid w:val="003C0011"/>
    <w:rsid w:val="003C08DE"/>
    <w:rsid w:val="00401CDA"/>
    <w:rsid w:val="00405FED"/>
    <w:rsid w:val="0040715D"/>
    <w:rsid w:val="004125C9"/>
    <w:rsid w:val="004168F9"/>
    <w:rsid w:val="004179CB"/>
    <w:rsid w:val="00427536"/>
    <w:rsid w:val="004348A8"/>
    <w:rsid w:val="00450E52"/>
    <w:rsid w:val="00453447"/>
    <w:rsid w:val="00477CA0"/>
    <w:rsid w:val="004A189E"/>
    <w:rsid w:val="004A5D30"/>
    <w:rsid w:val="004B38C5"/>
    <w:rsid w:val="00507041"/>
    <w:rsid w:val="00524D83"/>
    <w:rsid w:val="005278B5"/>
    <w:rsid w:val="00541271"/>
    <w:rsid w:val="00561ED1"/>
    <w:rsid w:val="005742ED"/>
    <w:rsid w:val="005913CD"/>
    <w:rsid w:val="00594801"/>
    <w:rsid w:val="005D5F1E"/>
    <w:rsid w:val="005D634A"/>
    <w:rsid w:val="005E29FA"/>
    <w:rsid w:val="005F0EDA"/>
    <w:rsid w:val="005F3499"/>
    <w:rsid w:val="00615D7D"/>
    <w:rsid w:val="0066071B"/>
    <w:rsid w:val="00667F54"/>
    <w:rsid w:val="00676D59"/>
    <w:rsid w:val="00694EE8"/>
    <w:rsid w:val="006A5590"/>
    <w:rsid w:val="006B7E61"/>
    <w:rsid w:val="006C460F"/>
    <w:rsid w:val="006D3C6F"/>
    <w:rsid w:val="006D591A"/>
    <w:rsid w:val="006E30CE"/>
    <w:rsid w:val="006F34E7"/>
    <w:rsid w:val="00720BE4"/>
    <w:rsid w:val="00724DC5"/>
    <w:rsid w:val="00746C35"/>
    <w:rsid w:val="0075218B"/>
    <w:rsid w:val="00757870"/>
    <w:rsid w:val="007615A0"/>
    <w:rsid w:val="00783CB9"/>
    <w:rsid w:val="00795FD6"/>
    <w:rsid w:val="00797E34"/>
    <w:rsid w:val="007B328D"/>
    <w:rsid w:val="007B36B1"/>
    <w:rsid w:val="007D09D0"/>
    <w:rsid w:val="007F5671"/>
    <w:rsid w:val="0080349F"/>
    <w:rsid w:val="00805874"/>
    <w:rsid w:val="00815782"/>
    <w:rsid w:val="0085217D"/>
    <w:rsid w:val="00863185"/>
    <w:rsid w:val="008712F6"/>
    <w:rsid w:val="008820D5"/>
    <w:rsid w:val="00886AB2"/>
    <w:rsid w:val="008A2A62"/>
    <w:rsid w:val="008A65E1"/>
    <w:rsid w:val="008A792E"/>
    <w:rsid w:val="008B7FD7"/>
    <w:rsid w:val="008D2EE0"/>
    <w:rsid w:val="008D4615"/>
    <w:rsid w:val="008E7780"/>
    <w:rsid w:val="0090537F"/>
    <w:rsid w:val="00912372"/>
    <w:rsid w:val="00923B4A"/>
    <w:rsid w:val="00933EF2"/>
    <w:rsid w:val="00941910"/>
    <w:rsid w:val="00947CC9"/>
    <w:rsid w:val="00953EFD"/>
    <w:rsid w:val="00956212"/>
    <w:rsid w:val="00956DD8"/>
    <w:rsid w:val="00964A64"/>
    <w:rsid w:val="00971F96"/>
    <w:rsid w:val="009868E5"/>
    <w:rsid w:val="009B3509"/>
    <w:rsid w:val="009B45C2"/>
    <w:rsid w:val="009D012D"/>
    <w:rsid w:val="009D7A62"/>
    <w:rsid w:val="009E1FEC"/>
    <w:rsid w:val="009E7EFD"/>
    <w:rsid w:val="00A06F88"/>
    <w:rsid w:val="00A20833"/>
    <w:rsid w:val="00A24296"/>
    <w:rsid w:val="00A278B0"/>
    <w:rsid w:val="00A35897"/>
    <w:rsid w:val="00A606D1"/>
    <w:rsid w:val="00A64B97"/>
    <w:rsid w:val="00A65469"/>
    <w:rsid w:val="00A767D6"/>
    <w:rsid w:val="00AB3E70"/>
    <w:rsid w:val="00AC09B7"/>
    <w:rsid w:val="00AD018B"/>
    <w:rsid w:val="00AD62BD"/>
    <w:rsid w:val="00AE44F1"/>
    <w:rsid w:val="00AE73E4"/>
    <w:rsid w:val="00B02BBC"/>
    <w:rsid w:val="00B04EFF"/>
    <w:rsid w:val="00B12C59"/>
    <w:rsid w:val="00B46FC9"/>
    <w:rsid w:val="00B471DC"/>
    <w:rsid w:val="00B51A2D"/>
    <w:rsid w:val="00B5519B"/>
    <w:rsid w:val="00B655D8"/>
    <w:rsid w:val="00B7004C"/>
    <w:rsid w:val="00B734F8"/>
    <w:rsid w:val="00B763E5"/>
    <w:rsid w:val="00B85313"/>
    <w:rsid w:val="00BA2B03"/>
    <w:rsid w:val="00BA6741"/>
    <w:rsid w:val="00BB15E4"/>
    <w:rsid w:val="00BC52F6"/>
    <w:rsid w:val="00BD7502"/>
    <w:rsid w:val="00BF7BDA"/>
    <w:rsid w:val="00BF7D8C"/>
    <w:rsid w:val="00C1088B"/>
    <w:rsid w:val="00C21294"/>
    <w:rsid w:val="00C30CF0"/>
    <w:rsid w:val="00C335FD"/>
    <w:rsid w:val="00C42C8E"/>
    <w:rsid w:val="00C442A3"/>
    <w:rsid w:val="00C5153E"/>
    <w:rsid w:val="00C71F38"/>
    <w:rsid w:val="00C80413"/>
    <w:rsid w:val="00C8266C"/>
    <w:rsid w:val="00C844C4"/>
    <w:rsid w:val="00C87D86"/>
    <w:rsid w:val="00C935D7"/>
    <w:rsid w:val="00CB16B8"/>
    <w:rsid w:val="00CC6A98"/>
    <w:rsid w:val="00CE32B7"/>
    <w:rsid w:val="00CE4079"/>
    <w:rsid w:val="00D240D7"/>
    <w:rsid w:val="00D26B58"/>
    <w:rsid w:val="00D4135D"/>
    <w:rsid w:val="00D53A02"/>
    <w:rsid w:val="00D57283"/>
    <w:rsid w:val="00D6001D"/>
    <w:rsid w:val="00D66010"/>
    <w:rsid w:val="00D77D60"/>
    <w:rsid w:val="00D80A8D"/>
    <w:rsid w:val="00D90258"/>
    <w:rsid w:val="00D950B4"/>
    <w:rsid w:val="00DA0334"/>
    <w:rsid w:val="00DA7579"/>
    <w:rsid w:val="00DC58DD"/>
    <w:rsid w:val="00DC626B"/>
    <w:rsid w:val="00DD0799"/>
    <w:rsid w:val="00DD588F"/>
    <w:rsid w:val="00DE69D8"/>
    <w:rsid w:val="00E07707"/>
    <w:rsid w:val="00E106A9"/>
    <w:rsid w:val="00E2659C"/>
    <w:rsid w:val="00E307D9"/>
    <w:rsid w:val="00E43A24"/>
    <w:rsid w:val="00E51789"/>
    <w:rsid w:val="00EA1241"/>
    <w:rsid w:val="00EC6B86"/>
    <w:rsid w:val="00EE761D"/>
    <w:rsid w:val="00F066A2"/>
    <w:rsid w:val="00F21EC1"/>
    <w:rsid w:val="00F30662"/>
    <w:rsid w:val="00F35744"/>
    <w:rsid w:val="00F36532"/>
    <w:rsid w:val="00F4510D"/>
    <w:rsid w:val="00F66939"/>
    <w:rsid w:val="00F70992"/>
    <w:rsid w:val="00FB272D"/>
    <w:rsid w:val="00FB3987"/>
    <w:rsid w:val="00FB6D4D"/>
    <w:rsid w:val="00FB7054"/>
    <w:rsid w:val="00FC2B99"/>
    <w:rsid w:val="00FE02E7"/>
    <w:rsid w:val="00FF0703"/>
    <w:rsid w:val="00FF29B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Pr>
      <w:rFonts w:cs="Tahoma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line="10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4179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79CB"/>
    <w:rPr>
      <w:rFonts w:ascii="Tahoma" w:eastAsia="Andale Sans UI" w:hAnsi="Tahoma" w:cs="Tahoma"/>
      <w:kern w:val="1"/>
      <w:sz w:val="16"/>
      <w:szCs w:val="16"/>
    </w:rPr>
  </w:style>
  <w:style w:type="character" w:styleId="ab">
    <w:name w:val="annotation reference"/>
    <w:uiPriority w:val="99"/>
    <w:semiHidden/>
    <w:unhideWhenUsed/>
    <w:rsid w:val="008712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12F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712F6"/>
    <w:rPr>
      <w:rFonts w:eastAsia="Andale Sans UI"/>
      <w:kern w:val="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12F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712F6"/>
    <w:rPr>
      <w:rFonts w:eastAsia="Andale Sans UI"/>
      <w:b/>
      <w:bCs/>
      <w:kern w:val="1"/>
    </w:rPr>
  </w:style>
  <w:style w:type="character" w:customStyle="1" w:styleId="blk">
    <w:name w:val="blk"/>
    <w:rsid w:val="00427536"/>
  </w:style>
  <w:style w:type="character" w:styleId="af0">
    <w:name w:val="Hyperlink"/>
    <w:uiPriority w:val="99"/>
    <w:rsid w:val="00F36532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4168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168F9"/>
    <w:rPr>
      <w:rFonts w:eastAsia="Andale Sans UI"/>
      <w:kern w:val="1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4168F9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Pr>
      <w:rFonts w:cs="Tahoma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line="10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4179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79CB"/>
    <w:rPr>
      <w:rFonts w:ascii="Tahoma" w:eastAsia="Andale Sans UI" w:hAnsi="Tahoma" w:cs="Tahoma"/>
      <w:kern w:val="1"/>
      <w:sz w:val="16"/>
      <w:szCs w:val="16"/>
    </w:rPr>
  </w:style>
  <w:style w:type="character" w:styleId="ab">
    <w:name w:val="annotation reference"/>
    <w:uiPriority w:val="99"/>
    <w:semiHidden/>
    <w:unhideWhenUsed/>
    <w:rsid w:val="008712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12F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712F6"/>
    <w:rPr>
      <w:rFonts w:eastAsia="Andale Sans UI"/>
      <w:kern w:val="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12F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712F6"/>
    <w:rPr>
      <w:rFonts w:eastAsia="Andale Sans UI"/>
      <w:b/>
      <w:bCs/>
      <w:kern w:val="1"/>
    </w:rPr>
  </w:style>
  <w:style w:type="character" w:customStyle="1" w:styleId="blk">
    <w:name w:val="blk"/>
    <w:rsid w:val="00427536"/>
  </w:style>
  <w:style w:type="character" w:styleId="af0">
    <w:name w:val="Hyperlink"/>
    <w:uiPriority w:val="99"/>
    <w:rsid w:val="00F36532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4168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168F9"/>
    <w:rPr>
      <w:rFonts w:eastAsia="Andale Sans UI"/>
      <w:kern w:val="1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4168F9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241-ihc-o-sudebnoj-sisteme-donetskoj-narodnoj-respubl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E53C-7D18-40FC-9ADE-020A214E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https://dnrsovet.su/zakonodatelnaya-deyatelnost/prinyatye/zakony/zakon-donetskoj-narodnoj-respubliki-o-sudebnoj-sisteme-donetskoj-narodnoj-respubliki/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Цыпалова Евгения Владимировна</dc:creator>
  <cp:lastModifiedBy>user</cp:lastModifiedBy>
  <cp:revision>5</cp:revision>
  <cp:lastPrinted>2019-03-19T09:44:00Z</cp:lastPrinted>
  <dcterms:created xsi:type="dcterms:W3CDTF">2019-06-20T09:20:00Z</dcterms:created>
  <dcterms:modified xsi:type="dcterms:W3CDTF">2019-06-21T07:00:00Z</dcterms:modified>
</cp:coreProperties>
</file>