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6" w:rsidRDefault="002C0AD6" w:rsidP="002C0AD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40"/>
        <w:jc w:val="center"/>
        <w:rPr>
          <w:rStyle w:val="1TimesNewRoman16pt0pt"/>
          <w:rFonts w:eastAsia="Franklin Gothic Book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9E83AF5" wp14:editId="3E0CDAF0">
            <wp:extent cx="6059170" cy="120118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120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AD6" w:rsidRDefault="00D711F1" w:rsidP="002C0AD6">
      <w:pPr>
        <w:pStyle w:val="10"/>
        <w:keepNext/>
        <w:keepLines/>
        <w:shd w:val="clear" w:color="auto" w:fill="auto"/>
        <w:spacing w:line="276" w:lineRule="auto"/>
        <w:ind w:right="40"/>
        <w:jc w:val="center"/>
        <w:rPr>
          <w:rStyle w:val="1TimesNewRoman16pt0pt"/>
          <w:rFonts w:eastAsia="Franklin Gothic Book"/>
        </w:rPr>
      </w:pPr>
      <w:r>
        <w:rPr>
          <w:rStyle w:val="1TimesNewRoman16pt0pt"/>
          <w:rFonts w:eastAsia="Franklin Gothic Book"/>
        </w:rPr>
        <w:t>РАСПОРЯЖЕНИЕ</w:t>
      </w:r>
      <w:bookmarkStart w:id="1" w:name="bookmark1"/>
      <w:bookmarkEnd w:id="0"/>
    </w:p>
    <w:p w:rsidR="002B6F83" w:rsidRDefault="00D711F1" w:rsidP="002C0AD6">
      <w:pPr>
        <w:pStyle w:val="10"/>
        <w:keepNext/>
        <w:keepLines/>
        <w:shd w:val="clear" w:color="auto" w:fill="auto"/>
        <w:spacing w:line="276" w:lineRule="auto"/>
        <w:ind w:right="40"/>
        <w:jc w:val="center"/>
        <w:rPr>
          <w:rStyle w:val="1TimesNewRoman16pt0pt"/>
          <w:rFonts w:eastAsia="Franklin Gothic Book"/>
        </w:rPr>
      </w:pPr>
      <w:r>
        <w:rPr>
          <w:rStyle w:val="1TimesNewRoman16pt0pt"/>
          <w:rFonts w:eastAsia="Franklin Gothic Book"/>
        </w:rPr>
        <w:t>ГЛАВЫ ДОНЕЦКОЙ НАРОДНОЙ РЕСПУБЛИКИ</w:t>
      </w:r>
      <w:bookmarkEnd w:id="1"/>
    </w:p>
    <w:p w:rsidR="002C0AD6" w:rsidRDefault="002C0AD6" w:rsidP="002C0AD6">
      <w:pPr>
        <w:pStyle w:val="10"/>
        <w:keepNext/>
        <w:keepLines/>
        <w:shd w:val="clear" w:color="auto" w:fill="auto"/>
        <w:spacing w:line="276" w:lineRule="auto"/>
        <w:ind w:right="40"/>
        <w:jc w:val="center"/>
        <w:rPr>
          <w:rStyle w:val="1TimesNewRoman16pt0pt"/>
          <w:rFonts w:eastAsia="Franklin Gothic Book"/>
        </w:rPr>
      </w:pPr>
    </w:p>
    <w:p w:rsidR="002C0AD6" w:rsidRDefault="002C0AD6" w:rsidP="002C0AD6">
      <w:pPr>
        <w:pStyle w:val="10"/>
        <w:keepNext/>
        <w:keepLines/>
        <w:shd w:val="clear" w:color="auto" w:fill="auto"/>
        <w:spacing w:line="276" w:lineRule="auto"/>
        <w:ind w:right="40"/>
        <w:jc w:val="center"/>
        <w:rPr>
          <w:rStyle w:val="1TimesNewRoman16pt0pt"/>
          <w:rFonts w:eastAsia="Franklin Gothic Book"/>
        </w:rPr>
      </w:pPr>
    </w:p>
    <w:p w:rsidR="002B6F83" w:rsidRDefault="00D711F1" w:rsidP="002C0AD6">
      <w:pPr>
        <w:pStyle w:val="20"/>
        <w:keepNext/>
        <w:keepLines/>
        <w:shd w:val="clear" w:color="auto" w:fill="auto"/>
        <w:spacing w:after="0" w:line="276" w:lineRule="auto"/>
        <w:ind w:right="40"/>
      </w:pPr>
      <w:bookmarkStart w:id="2" w:name="bookmark2"/>
      <w:r>
        <w:rPr>
          <w:rStyle w:val="214pt"/>
          <w:b/>
          <w:bCs/>
        </w:rPr>
        <w:t>О внесении изменений в Положение о межведомственной комиссии по</w:t>
      </w:r>
      <w:r>
        <w:rPr>
          <w:rStyle w:val="214pt"/>
          <w:b/>
          <w:bCs/>
        </w:rPr>
        <w:br/>
        <w:t>вопросам государственного управления бесхозяйным недвижимым</w:t>
      </w:r>
      <w:r>
        <w:rPr>
          <w:rStyle w:val="214pt"/>
          <w:b/>
          <w:bCs/>
        </w:rPr>
        <w:br/>
        <w:t>имуществом, утвержденное Распоряжением Главы</w:t>
      </w:r>
      <w:bookmarkEnd w:id="2"/>
    </w:p>
    <w:p w:rsidR="002B6F83" w:rsidRDefault="00D711F1" w:rsidP="002C0AD6">
      <w:pPr>
        <w:pStyle w:val="20"/>
        <w:keepNext/>
        <w:keepLines/>
        <w:shd w:val="clear" w:color="auto" w:fill="auto"/>
        <w:spacing w:after="0" w:line="276" w:lineRule="auto"/>
        <w:ind w:right="4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Донецкой Народной Республики от 30 </w:t>
      </w:r>
      <w:r>
        <w:rPr>
          <w:rStyle w:val="214pt"/>
          <w:b/>
          <w:bCs/>
        </w:rPr>
        <w:t>сентября 2015 года № 181</w:t>
      </w:r>
      <w:bookmarkEnd w:id="3"/>
    </w:p>
    <w:p w:rsidR="002C0AD6" w:rsidRDefault="002C0AD6" w:rsidP="002C0AD6">
      <w:pPr>
        <w:pStyle w:val="20"/>
        <w:keepNext/>
        <w:keepLines/>
        <w:shd w:val="clear" w:color="auto" w:fill="auto"/>
        <w:spacing w:after="0" w:line="276" w:lineRule="auto"/>
        <w:ind w:right="40"/>
        <w:rPr>
          <w:rStyle w:val="214pt"/>
          <w:b/>
          <w:bCs/>
        </w:rPr>
      </w:pPr>
    </w:p>
    <w:p w:rsidR="002C0AD6" w:rsidRDefault="002C0AD6" w:rsidP="002C0AD6">
      <w:pPr>
        <w:pStyle w:val="20"/>
        <w:keepNext/>
        <w:keepLines/>
        <w:shd w:val="clear" w:color="auto" w:fill="auto"/>
        <w:spacing w:after="0" w:line="276" w:lineRule="auto"/>
        <w:ind w:right="40"/>
      </w:pP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 xml:space="preserve">В целях реализации задач, возложенных на межведомственную комиссию по вопросам государственного управления бесхозяйным недвижимым имуществом, а также руководствуясь </w:t>
      </w:r>
      <w:hyperlink r:id="rId9" w:history="1">
        <w:r w:rsidRPr="00766E23">
          <w:rPr>
            <w:rStyle w:val="a3"/>
          </w:rPr>
          <w:t>Указом Главы Донецкой Народной Республики от 24 апреля 2019 года №</w:t>
        </w:r>
        <w:r w:rsidRPr="00766E23">
          <w:rPr>
            <w:rStyle w:val="a3"/>
          </w:rPr>
          <w:t xml:space="preserve"> 114 «О некоторых вопросах деятельности Фонда государственного имущества Донецкой Народной Республики»</w:t>
        </w:r>
      </w:hyperlink>
      <w:r>
        <w:rPr>
          <w:rStyle w:val="23"/>
        </w:rPr>
        <w:t>,</w:t>
      </w:r>
    </w:p>
    <w:p w:rsidR="002C0AD6" w:rsidRDefault="002C0AD6" w:rsidP="002C0AD6">
      <w:pPr>
        <w:pStyle w:val="22"/>
        <w:shd w:val="clear" w:color="auto" w:fill="auto"/>
        <w:spacing w:before="0" w:after="0" w:line="276" w:lineRule="auto"/>
        <w:ind w:firstLine="780"/>
      </w:pPr>
    </w:p>
    <w:p w:rsidR="002B6F83" w:rsidRDefault="00D711F1" w:rsidP="002C0AD6">
      <w:pPr>
        <w:pStyle w:val="20"/>
        <w:keepNext/>
        <w:keepLines/>
        <w:shd w:val="clear" w:color="auto" w:fill="auto"/>
        <w:spacing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РАСПОРЯЖАЮСЬ:</w:t>
      </w:r>
      <w:bookmarkEnd w:id="4"/>
    </w:p>
    <w:p w:rsidR="002C0AD6" w:rsidRDefault="002C0AD6" w:rsidP="002C0AD6">
      <w:pPr>
        <w:pStyle w:val="20"/>
        <w:keepNext/>
        <w:keepLines/>
        <w:shd w:val="clear" w:color="auto" w:fill="auto"/>
        <w:spacing w:after="0" w:line="276" w:lineRule="auto"/>
        <w:jc w:val="left"/>
      </w:pPr>
    </w:p>
    <w:p w:rsidR="002B6F83" w:rsidRDefault="00D711F1" w:rsidP="002C0AD6">
      <w:pPr>
        <w:pStyle w:val="22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0" w:line="276" w:lineRule="auto"/>
        <w:ind w:firstLine="780"/>
      </w:pPr>
      <w:r>
        <w:rPr>
          <w:rStyle w:val="23"/>
        </w:rPr>
        <w:t xml:space="preserve">Внести в </w:t>
      </w:r>
      <w:hyperlink r:id="rId10" w:history="1">
        <w:r w:rsidRPr="00AF57F8">
          <w:rPr>
            <w:rStyle w:val="a3"/>
          </w:rPr>
          <w:t>Положение о межведомственной комиссии по вопросам государственного управления бесхозяйным недвижимым имуществом, утвержденное Рас</w:t>
        </w:r>
        <w:r w:rsidRPr="00AF57F8">
          <w:rPr>
            <w:rStyle w:val="a3"/>
          </w:rPr>
          <w:t>поряжением Главы Донецкой Народной Республики от 30 сентября 2015 года№ 181</w:t>
        </w:r>
      </w:hyperlink>
      <w:r>
        <w:rPr>
          <w:rStyle w:val="23"/>
        </w:rPr>
        <w:t xml:space="preserve"> (далее — Положение), следующие изменения: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 xml:space="preserve">1.1. Подпункты 2 и 3 пункта 4 </w:t>
      </w:r>
      <w:hyperlink r:id="rId11" w:history="1">
        <w:r w:rsidRPr="00AF57F8">
          <w:rPr>
            <w:rStyle w:val="a3"/>
          </w:rPr>
          <w:t>Положения</w:t>
        </w:r>
      </w:hyperlink>
      <w:r>
        <w:rPr>
          <w:rStyle w:val="23"/>
        </w:rPr>
        <w:t xml:space="preserve"> изложить в следующей редакции: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rPr>
          <w:rStyle w:val="23"/>
        </w:rPr>
        <w:t xml:space="preserve">«2) рассмотрение ходатайств Администрации Главы Донецкой Народной </w:t>
      </w:r>
      <w:r>
        <w:rPr>
          <w:rStyle w:val="23"/>
        </w:rPr>
        <w:t>Республики, Правительства Донецкой Народной Республики, органов исполнительной власти Донецкой Народной Республики, органов местного самоуправления Донецкой Народной Республики, Центрального Республиканского Банка Донецкой Народной Республики, Верховного С</w:t>
      </w:r>
      <w:r>
        <w:rPr>
          <w:rStyle w:val="23"/>
        </w:rPr>
        <w:t>уда Донецкой Народной Республики, Генеральной прокуратуры Донецкой Народной Республики по бесхозяйному недвижимому имуществу по объектам;</w:t>
      </w:r>
      <w:proofErr w:type="gramEnd"/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lastRenderedPageBreak/>
        <w:t>3) опр</w:t>
      </w:r>
      <w:r>
        <w:rPr>
          <w:rStyle w:val="23"/>
        </w:rPr>
        <w:t>еделение Администрации Главы Донецкой Народной</w:t>
      </w:r>
      <w:r w:rsidR="002C0AD6">
        <w:rPr>
          <w:rStyle w:val="23"/>
        </w:rPr>
        <w:t xml:space="preserve"> </w:t>
      </w:r>
      <w:r>
        <w:t>Республики, Правительства Донецкой Народной Республики, органов исполнительной власти Донецкой Народной Республики, органов местного самоуправления Донецкой Народной Республики, Центрального Республиканского Б</w:t>
      </w:r>
      <w:r>
        <w:t>анка Донецкой Народной Республики, Верховного Суда Донецкой Народной Республики, Генеральной прокуратуры Донецкой Народной Республики органами управления бесхозяйным недвижимым имуществом на период действия процедуры государственного управления</w:t>
      </w:r>
      <w:proofErr w:type="gramStart"/>
      <w:r>
        <w:t>.».</w:t>
      </w:r>
      <w:proofErr w:type="gramEnd"/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1.2. </w:t>
      </w:r>
      <w:r>
        <w:t xml:space="preserve">Пункт 8 </w:t>
      </w:r>
      <w:hyperlink r:id="rId12" w:history="1">
        <w:r w:rsidRPr="00AF57F8">
          <w:rPr>
            <w:rStyle w:val="a3"/>
          </w:rPr>
          <w:t>Положения</w:t>
        </w:r>
      </w:hyperlink>
      <w:bookmarkStart w:id="5" w:name="_GoBack"/>
      <w:bookmarkEnd w:id="5"/>
      <w:r>
        <w:t xml:space="preserve"> изложить в следующей редакции: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«8. Комиссия состоит из 7 членов, включая председателя и секретаря.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Состав комиссии формируется из уполномоченных представителей: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представителя соответствующего территориального органа местного самоуправлени</w:t>
      </w:r>
      <w:r>
        <w:t>я;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представителя Администрации Г лавы Донецкой Народной Республики;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представителя Правительства Донецкой Народной Республики;</w:t>
      </w:r>
    </w:p>
    <w:p w:rsidR="002B6F83" w:rsidRDefault="00D711F1" w:rsidP="002C0AD6">
      <w:pPr>
        <w:pStyle w:val="22"/>
        <w:shd w:val="clear" w:color="auto" w:fill="auto"/>
        <w:tabs>
          <w:tab w:val="left" w:pos="2829"/>
          <w:tab w:val="left" w:pos="6472"/>
          <w:tab w:val="left" w:pos="8147"/>
        </w:tabs>
        <w:spacing w:before="0" w:after="0" w:line="276" w:lineRule="auto"/>
        <w:ind w:firstLine="760"/>
      </w:pPr>
      <w:r>
        <w:t>представителя</w:t>
      </w:r>
      <w:r>
        <w:tab/>
        <w:t>Министерства юстиции</w:t>
      </w:r>
      <w:r>
        <w:tab/>
        <w:t>Донецкой</w:t>
      </w:r>
      <w:r>
        <w:tab/>
        <w:t>Народной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</w:pPr>
      <w:r>
        <w:t>Республики;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представителя Министерства доходов и сборов Донецкой Народной Рес</w:t>
      </w:r>
      <w:r>
        <w:t>публики;</w:t>
      </w:r>
    </w:p>
    <w:p w:rsidR="002B6F83" w:rsidRDefault="00D711F1" w:rsidP="002C0AD6">
      <w:pPr>
        <w:pStyle w:val="22"/>
        <w:shd w:val="clear" w:color="auto" w:fill="auto"/>
        <w:tabs>
          <w:tab w:val="left" w:pos="6472"/>
        </w:tabs>
        <w:spacing w:before="0" w:after="0" w:line="276" w:lineRule="auto"/>
        <w:ind w:firstLine="760"/>
      </w:pPr>
      <w:r>
        <w:t>представителя Фонда государственного</w:t>
      </w:r>
      <w:r>
        <w:tab/>
        <w:t xml:space="preserve">имущества </w:t>
      </w:r>
      <w:proofErr w:type="gramStart"/>
      <w:r>
        <w:t>Донецкой</w:t>
      </w:r>
      <w:proofErr w:type="gramEnd"/>
    </w:p>
    <w:p w:rsidR="002B6F83" w:rsidRDefault="00D711F1" w:rsidP="002C0AD6">
      <w:pPr>
        <w:pStyle w:val="22"/>
        <w:shd w:val="clear" w:color="auto" w:fill="auto"/>
        <w:spacing w:before="0" w:after="0" w:line="276" w:lineRule="auto"/>
      </w:pPr>
      <w:r>
        <w:t>Народной Республики (секретарь).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>Заседание Комиссии ведет ее председатель. Необходимый кворум для работы комиссии составляет 6 человек.</w:t>
      </w:r>
    </w:p>
    <w:p w:rsidR="002B6F83" w:rsidRDefault="00D711F1" w:rsidP="002C0AD6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случае отсутствия председателя Комиссии его </w:t>
      </w:r>
      <w:r>
        <w:t>обязанности исполняет секретарь</w:t>
      </w:r>
      <w:proofErr w:type="gramStart"/>
      <w:r>
        <w:t>.».</w:t>
      </w:r>
      <w:proofErr w:type="gramEnd"/>
    </w:p>
    <w:p w:rsidR="002B6F83" w:rsidRDefault="00D711F1" w:rsidP="002C0AD6">
      <w:pPr>
        <w:pStyle w:val="22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276" w:lineRule="auto"/>
        <w:ind w:firstLine="760"/>
      </w:pPr>
      <w:r>
        <w:t>Фонду государственного имущества Донецкой Народной Республики привести свои нормативные правовые акты в сфере государственного управления бесхозяйным недвижимым имуществом в соответствие с настоящим Распоряжением.</w:t>
      </w:r>
    </w:p>
    <w:p w:rsidR="002B6F83" w:rsidRDefault="00D711F1" w:rsidP="002C0AD6">
      <w:pPr>
        <w:pStyle w:val="a7"/>
        <w:numPr>
          <w:ilvl w:val="0"/>
          <w:numId w:val="1"/>
        </w:numPr>
        <w:shd w:val="clear" w:color="auto" w:fill="auto"/>
        <w:tabs>
          <w:tab w:val="left" w:pos="1098"/>
        </w:tabs>
        <w:spacing w:line="276" w:lineRule="auto"/>
        <w:ind w:firstLine="760"/>
        <w:jc w:val="both"/>
      </w:pPr>
      <w:r>
        <w:t>Настоящее Распоряжение вступает в силу со дня его официального опубликования.</w:t>
      </w:r>
    </w:p>
    <w:p w:rsidR="002C0AD6" w:rsidRDefault="002C0AD6" w:rsidP="002C0AD6">
      <w:pPr>
        <w:pStyle w:val="a7"/>
        <w:shd w:val="clear" w:color="auto" w:fill="auto"/>
        <w:tabs>
          <w:tab w:val="left" w:pos="1098"/>
        </w:tabs>
        <w:spacing w:line="276" w:lineRule="auto"/>
        <w:jc w:val="both"/>
      </w:pPr>
    </w:p>
    <w:p w:rsidR="002C0AD6" w:rsidRDefault="002C0AD6" w:rsidP="002C0AD6">
      <w:pPr>
        <w:pStyle w:val="a7"/>
        <w:shd w:val="clear" w:color="auto" w:fill="auto"/>
        <w:tabs>
          <w:tab w:val="left" w:pos="1098"/>
        </w:tabs>
        <w:spacing w:line="276" w:lineRule="auto"/>
        <w:jc w:val="both"/>
      </w:pPr>
    </w:p>
    <w:p w:rsidR="002B6F83" w:rsidRDefault="00D711F1" w:rsidP="002C0AD6">
      <w:pPr>
        <w:pStyle w:val="a7"/>
        <w:shd w:val="clear" w:color="auto" w:fill="auto"/>
        <w:spacing w:line="276" w:lineRule="auto"/>
        <w:ind w:left="1460"/>
      </w:pPr>
      <w:r>
        <w:t>Глава</w:t>
      </w:r>
    </w:p>
    <w:p w:rsidR="002C0AD6" w:rsidRDefault="00D711F1" w:rsidP="002C0AD6">
      <w:pPr>
        <w:pStyle w:val="22"/>
        <w:shd w:val="clear" w:color="auto" w:fill="auto"/>
        <w:spacing w:before="0" w:after="0" w:line="280" w:lineRule="exact"/>
        <w:jc w:val="left"/>
      </w:pPr>
      <w:r>
        <w:t>Донецкой Народной Рес</w:t>
      </w:r>
      <w:r w:rsidR="002C0AD6">
        <w:t xml:space="preserve">публики                                                   </w:t>
      </w:r>
      <w:r w:rsidR="002C0AD6">
        <w:rPr>
          <w:rStyle w:val="2Exact"/>
        </w:rPr>
        <w:t xml:space="preserve">Д. В. </w:t>
      </w:r>
      <w:proofErr w:type="spellStart"/>
      <w:r w:rsidR="002C0AD6">
        <w:rPr>
          <w:rStyle w:val="2Exact"/>
        </w:rPr>
        <w:t>Пушилин</w:t>
      </w:r>
      <w:proofErr w:type="spellEnd"/>
    </w:p>
    <w:p w:rsidR="002B6F83" w:rsidRDefault="002B6F83" w:rsidP="002C0AD6">
      <w:pPr>
        <w:pStyle w:val="a7"/>
        <w:shd w:val="clear" w:color="auto" w:fill="auto"/>
        <w:spacing w:line="276" w:lineRule="auto"/>
        <w:jc w:val="both"/>
      </w:pPr>
    </w:p>
    <w:p w:rsidR="002C0AD6" w:rsidRDefault="002C0AD6" w:rsidP="002C0AD6">
      <w:pPr>
        <w:pStyle w:val="a7"/>
        <w:shd w:val="clear" w:color="auto" w:fill="auto"/>
        <w:spacing w:line="276" w:lineRule="auto"/>
        <w:jc w:val="both"/>
      </w:pPr>
    </w:p>
    <w:p w:rsidR="002C0AD6" w:rsidRDefault="002C0AD6" w:rsidP="002C0AD6">
      <w:pPr>
        <w:pStyle w:val="a7"/>
        <w:shd w:val="clear" w:color="auto" w:fill="auto"/>
        <w:spacing w:line="276" w:lineRule="auto"/>
        <w:jc w:val="both"/>
      </w:pPr>
      <w:r>
        <w:t>«</w:t>
      </w:r>
      <w:r>
        <w:rPr>
          <w:u w:val="single"/>
        </w:rPr>
        <w:t>28</w:t>
      </w:r>
      <w:r>
        <w:t xml:space="preserve">» </w:t>
      </w:r>
      <w:r>
        <w:rPr>
          <w:u w:val="single"/>
        </w:rPr>
        <w:t xml:space="preserve">июня </w:t>
      </w:r>
      <w:r>
        <w:t xml:space="preserve"> 2019 года</w:t>
      </w:r>
    </w:p>
    <w:p w:rsidR="002C0AD6" w:rsidRPr="002C0AD6" w:rsidRDefault="002C0AD6" w:rsidP="002C0AD6">
      <w:pPr>
        <w:pStyle w:val="a7"/>
        <w:shd w:val="clear" w:color="auto" w:fill="auto"/>
        <w:spacing w:line="276" w:lineRule="auto"/>
        <w:jc w:val="both"/>
      </w:pPr>
      <w:r>
        <w:t>№ 190</w:t>
      </w:r>
    </w:p>
    <w:sectPr w:rsidR="002C0AD6" w:rsidRPr="002C0AD6" w:rsidSect="00766E23">
      <w:footerReference w:type="default" r:id="rId13"/>
      <w:headerReference w:type="first" r:id="rId14"/>
      <w:pgSz w:w="11900" w:h="16840"/>
      <w:pgMar w:top="1134" w:right="776" w:bottom="968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F1" w:rsidRDefault="00D711F1">
      <w:r>
        <w:separator/>
      </w:r>
    </w:p>
  </w:endnote>
  <w:endnote w:type="continuationSeparator" w:id="0">
    <w:p w:rsidR="00D711F1" w:rsidRDefault="00D7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83" w:rsidRDefault="00D711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1pt;margin-top:749.45pt;width:146.15pt;height:9.6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6F83" w:rsidRDefault="00D711F1">
                <w:pPr>
                  <w:pStyle w:val="a5"/>
                  <w:shd w:val="clear" w:color="auto" w:fill="auto"/>
                  <w:tabs>
                    <w:tab w:val="right" w:pos="2923"/>
                  </w:tabs>
                </w:pPr>
                <w:r>
                  <w:rPr>
                    <w:rStyle w:val="4"/>
                  </w:rPr>
                  <w:t>«</w:t>
                </w:r>
                <w:r>
                  <w:rPr>
                    <w:rStyle w:val="4"/>
                  </w:rPr>
                  <w:tab/>
                </w:r>
                <w:r>
                  <w:rPr>
                    <w:rStyle w:val="5AngsanaUPC"/>
                  </w:rPr>
                  <w:t>&gt;&gt;</w:t>
                </w:r>
                <w:r>
                  <w:rPr>
                    <w:rStyle w:val="5"/>
                  </w:rPr>
                  <w:t xml:space="preserve">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F1" w:rsidRDefault="00D711F1"/>
  </w:footnote>
  <w:footnote w:type="continuationSeparator" w:id="0">
    <w:p w:rsidR="00D711F1" w:rsidRDefault="00D711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83" w:rsidRDefault="00D711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8.65pt;margin-top:41.9pt;width:465.35pt;height:57.3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6F83" w:rsidRDefault="00D711F1">
                <w:pPr>
                  <w:pStyle w:val="a5"/>
                  <w:shd w:val="clear" w:color="auto" w:fill="auto"/>
                  <w:tabs>
                    <w:tab w:val="right" w:pos="9307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00369"/>
    <w:multiLevelType w:val="multilevel"/>
    <w:tmpl w:val="02A25F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6F83"/>
    <w:rsid w:val="002B6F83"/>
    <w:rsid w:val="002C0AD6"/>
    <w:rsid w:val="00766E23"/>
    <w:rsid w:val="00AF57F8"/>
    <w:rsid w:val="00D7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40"/>
      <w:sz w:val="60"/>
      <w:szCs w:val="60"/>
      <w:u w:val="none"/>
    </w:rPr>
  </w:style>
  <w:style w:type="character" w:customStyle="1" w:styleId="1TimesNewRoman16pt0pt">
    <w:name w:val="Заголовок №1 + Times New Roman;16 pt;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AngsanaUPC">
    <w:name w:val="Основной текст (5) + AngsanaUPC;Полужирный;Курсив"/>
    <w:basedOn w:val="a0"/>
    <w:rPr>
      <w:rFonts w:ascii="AngsanaUPC" w:eastAsia="AngsanaUPC" w:hAnsi="AngsanaUPC" w:cs="AngsanaUPC"/>
      <w:b/>
      <w:bCs/>
      <w:i/>
      <w:iCs/>
      <w:smallCaps w:val="0"/>
      <w:strike w:val="0"/>
      <w:spacing w:val="0"/>
      <w:sz w:val="26"/>
      <w:szCs w:val="26"/>
      <w:u w:val="none"/>
    </w:rPr>
  </w:style>
  <w:style w:type="character" w:customStyle="1" w:styleId="5">
    <w:name w:val="Основной текст (5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-40"/>
      <w:sz w:val="60"/>
      <w:szCs w:val="6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18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C0AD6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AD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rasporyazhenie-glavy-donetskoj-narodnoj-respubliki-181-ot-30-09-2015-goda-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rasporyazhenie-glavy-donetskoj-narodnoj-respubliki-181-ot-30-09-2015-goda-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rasporyazhenie-glavy-donetskoj-narodnoj-respubliki-181-ot-30-09-2015-goda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14-ot-24-04-2019-goda-o-nekotoryh-voprosah-deyatelnosti-fonda-gosudarstvennogo-imushhestva-donetskoj-narodnoj-respubliki-opublikovan-25-04-2019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2019-07-04T10:12:00Z</dcterms:created>
  <dcterms:modified xsi:type="dcterms:W3CDTF">2019-07-04T10:56:00Z</dcterms:modified>
</cp:coreProperties>
</file>