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A4C" w:rsidRDefault="002F5A4C" w:rsidP="002F5A4C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r>
        <w:rPr>
          <w:noProof/>
          <w:lang w:bidi="ar-SA"/>
        </w:rPr>
        <w:drawing>
          <wp:inline distT="0" distB="0" distL="0" distR="0" wp14:anchorId="27270B68" wp14:editId="4F8EF882">
            <wp:extent cx="6250940" cy="1239200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940" cy="12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514" w:rsidRDefault="00AD3BFF" w:rsidP="002F5A4C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rPr>
          <w:rStyle w:val="11"/>
          <w:b/>
          <w:bCs/>
        </w:rPr>
        <w:t>РАСПОРЯЖЕНИЕ</w:t>
      </w:r>
    </w:p>
    <w:p w:rsidR="00D97514" w:rsidRDefault="00AD3BFF" w:rsidP="002F5A4C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r>
        <w:rPr>
          <w:rStyle w:val="11"/>
          <w:b/>
          <w:bCs/>
        </w:rPr>
        <w:t>ГЛАВЫ ДОНЕЦКОЙ НАРОДНОЙ РЕСПУБЛИКИ</w:t>
      </w:r>
    </w:p>
    <w:p w:rsidR="002F5A4C" w:rsidRDefault="002F5A4C" w:rsidP="002F5A4C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</w:p>
    <w:p w:rsidR="002F5A4C" w:rsidRDefault="002F5A4C" w:rsidP="002F5A4C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D97514" w:rsidRDefault="00AD3BFF" w:rsidP="002F5A4C">
      <w:pPr>
        <w:pStyle w:val="40"/>
        <w:shd w:val="clear" w:color="auto" w:fill="auto"/>
        <w:spacing w:before="0" w:line="276" w:lineRule="auto"/>
        <w:ind w:right="40"/>
      </w:pPr>
      <w:r>
        <w:rPr>
          <w:rStyle w:val="41"/>
          <w:b/>
          <w:bCs/>
        </w:rPr>
        <w:t>О внесении изменений в Порядок открытия текущих счетов со</w:t>
      </w:r>
      <w:r>
        <w:rPr>
          <w:rStyle w:val="41"/>
          <w:b/>
          <w:bCs/>
        </w:rPr>
        <w:br/>
      </w:r>
      <w:r>
        <w:rPr>
          <w:rStyle w:val="41"/>
          <w:b/>
          <w:bCs/>
        </w:rPr>
        <w:t>специальным режимом использования для зачисления и</w:t>
      </w:r>
      <w:r>
        <w:rPr>
          <w:rStyle w:val="41"/>
          <w:b/>
          <w:bCs/>
        </w:rPr>
        <w:br/>
        <w:t>распределения сре</w:t>
      </w:r>
      <w:proofErr w:type="gramStart"/>
      <w:r>
        <w:rPr>
          <w:rStyle w:val="41"/>
          <w:b/>
          <w:bCs/>
        </w:rPr>
        <w:t>дств пр</w:t>
      </w:r>
      <w:proofErr w:type="gramEnd"/>
      <w:r>
        <w:rPr>
          <w:rStyle w:val="41"/>
          <w:b/>
          <w:bCs/>
        </w:rPr>
        <w:t>и проведении расчетов за электроэнергию,</w:t>
      </w:r>
    </w:p>
    <w:p w:rsidR="00D97514" w:rsidRDefault="00AD3BFF" w:rsidP="002F5A4C">
      <w:pPr>
        <w:pStyle w:val="40"/>
        <w:shd w:val="clear" w:color="auto" w:fill="auto"/>
        <w:spacing w:before="0" w:line="276" w:lineRule="auto"/>
        <w:ind w:right="40"/>
      </w:pPr>
      <w:proofErr w:type="gramStart"/>
      <w:r>
        <w:rPr>
          <w:rStyle w:val="41"/>
          <w:b/>
          <w:bCs/>
        </w:rPr>
        <w:t>утвержденный</w:t>
      </w:r>
      <w:proofErr w:type="gramEnd"/>
      <w:r>
        <w:rPr>
          <w:rStyle w:val="41"/>
          <w:b/>
          <w:bCs/>
        </w:rPr>
        <w:t xml:space="preserve"> Распоряжением Главы Донецкой Народной</w:t>
      </w:r>
    </w:p>
    <w:p w:rsidR="00D97514" w:rsidRDefault="00AD3BFF" w:rsidP="002F5A4C">
      <w:pPr>
        <w:pStyle w:val="40"/>
        <w:shd w:val="clear" w:color="auto" w:fill="auto"/>
        <w:spacing w:before="0" w:line="276" w:lineRule="auto"/>
        <w:ind w:right="40"/>
        <w:rPr>
          <w:rStyle w:val="41"/>
          <w:b/>
          <w:bCs/>
        </w:rPr>
      </w:pPr>
      <w:r>
        <w:rPr>
          <w:rStyle w:val="41"/>
          <w:b/>
          <w:bCs/>
        </w:rPr>
        <w:t>Республики от 17 апреля 2015 года № 51 «Об урегулировании</w:t>
      </w:r>
      <w:r>
        <w:rPr>
          <w:rStyle w:val="41"/>
          <w:b/>
          <w:bCs/>
        </w:rPr>
        <w:br/>
        <w:t>отношений на государственном оп</w:t>
      </w:r>
      <w:r>
        <w:rPr>
          <w:rStyle w:val="41"/>
          <w:b/>
          <w:bCs/>
        </w:rPr>
        <w:t>товом рынке электрической</w:t>
      </w:r>
      <w:r>
        <w:rPr>
          <w:rStyle w:val="41"/>
          <w:b/>
          <w:bCs/>
        </w:rPr>
        <w:br/>
        <w:t>энергии и мощности Донецкой Народной Республики»</w:t>
      </w:r>
    </w:p>
    <w:p w:rsidR="002F5A4C" w:rsidRDefault="002F5A4C" w:rsidP="002F5A4C">
      <w:pPr>
        <w:pStyle w:val="40"/>
        <w:shd w:val="clear" w:color="auto" w:fill="auto"/>
        <w:spacing w:before="0" w:line="276" w:lineRule="auto"/>
        <w:ind w:right="40"/>
        <w:rPr>
          <w:rStyle w:val="41"/>
          <w:b/>
          <w:bCs/>
        </w:rPr>
      </w:pPr>
    </w:p>
    <w:p w:rsidR="002F5A4C" w:rsidRDefault="002F5A4C" w:rsidP="002F5A4C">
      <w:pPr>
        <w:pStyle w:val="40"/>
        <w:shd w:val="clear" w:color="auto" w:fill="auto"/>
        <w:spacing w:before="0" w:line="276" w:lineRule="auto"/>
        <w:ind w:right="40"/>
      </w:pPr>
    </w:p>
    <w:p w:rsidR="00D97514" w:rsidRDefault="00AD3BFF" w:rsidP="002F5A4C">
      <w:pPr>
        <w:pStyle w:val="20"/>
        <w:shd w:val="clear" w:color="auto" w:fill="auto"/>
        <w:spacing w:before="0" w:after="0" w:line="276" w:lineRule="auto"/>
        <w:ind w:firstLine="800"/>
        <w:rPr>
          <w:rStyle w:val="21"/>
        </w:rPr>
      </w:pPr>
      <w:r>
        <w:rPr>
          <w:rStyle w:val="21"/>
        </w:rPr>
        <w:t>В целях урегулирования отношений между субъектами электроэнергетики при осуществлении оплаты электрической энергии, обеспечения энергетической безопасности и стабильной работы Энерг</w:t>
      </w:r>
      <w:r>
        <w:rPr>
          <w:rStyle w:val="21"/>
        </w:rPr>
        <w:t xml:space="preserve">етической системы Донецкой Народной Республики, руководствуясь статьями 59, 60 </w:t>
      </w:r>
      <w:hyperlink r:id="rId9" w:history="1">
        <w:r w:rsidRPr="001657FE">
          <w:rPr>
            <w:rStyle w:val="a3"/>
          </w:rPr>
          <w:t>Конституции Донецкой Народной Республики</w:t>
        </w:r>
      </w:hyperlink>
      <w:r>
        <w:rPr>
          <w:rStyle w:val="21"/>
        </w:rPr>
        <w:t xml:space="preserve">, </w:t>
      </w:r>
      <w:hyperlink r:id="rId10" w:history="1">
        <w:r w:rsidRPr="001657FE">
          <w:rPr>
            <w:rStyle w:val="a3"/>
          </w:rPr>
          <w:t xml:space="preserve">Законом Донецкой Народной Республики от 17 апреля 2015 года № </w:t>
        </w:r>
        <w:r w:rsidRPr="001657FE">
          <w:rPr>
            <w:rStyle w:val="a3"/>
            <w:lang w:eastAsia="en-US" w:bidi="en-US"/>
          </w:rPr>
          <w:t>45-</w:t>
        </w:r>
        <w:r w:rsidRPr="001657FE">
          <w:rPr>
            <w:rStyle w:val="a3"/>
            <w:lang w:val="en-US" w:eastAsia="en-US" w:bidi="en-US"/>
          </w:rPr>
          <w:t>IHC</w:t>
        </w:r>
        <w:r w:rsidRPr="001657FE">
          <w:rPr>
            <w:rStyle w:val="a3"/>
            <w:lang w:eastAsia="en-US" w:bidi="en-US"/>
          </w:rPr>
          <w:t xml:space="preserve"> </w:t>
        </w:r>
        <w:r w:rsidRPr="001657FE">
          <w:rPr>
            <w:rStyle w:val="a3"/>
          </w:rPr>
          <w:t>«Об электроэнергетике»</w:t>
        </w:r>
      </w:hyperlink>
      <w:r>
        <w:rPr>
          <w:rStyle w:val="21"/>
        </w:rPr>
        <w:t>,</w:t>
      </w:r>
    </w:p>
    <w:p w:rsidR="002F5A4C" w:rsidRDefault="002F5A4C" w:rsidP="002F5A4C">
      <w:pPr>
        <w:pStyle w:val="20"/>
        <w:shd w:val="clear" w:color="auto" w:fill="auto"/>
        <w:spacing w:before="0" w:after="0" w:line="276" w:lineRule="auto"/>
        <w:ind w:firstLine="800"/>
      </w:pPr>
      <w:bookmarkStart w:id="0" w:name="_GoBack"/>
      <w:bookmarkEnd w:id="0"/>
    </w:p>
    <w:p w:rsidR="00D97514" w:rsidRDefault="00AD3BFF" w:rsidP="002F5A4C">
      <w:pPr>
        <w:pStyle w:val="10"/>
        <w:keepNext/>
        <w:keepLines/>
        <w:shd w:val="clear" w:color="auto" w:fill="auto"/>
        <w:spacing w:after="0" w:line="276" w:lineRule="auto"/>
        <w:jc w:val="left"/>
        <w:rPr>
          <w:rStyle w:val="11"/>
          <w:b/>
          <w:bCs/>
        </w:rPr>
      </w:pPr>
      <w:r>
        <w:rPr>
          <w:rStyle w:val="11"/>
          <w:b/>
          <w:bCs/>
        </w:rPr>
        <w:t>РАСПОРЯЖАЮСЬ:</w:t>
      </w:r>
    </w:p>
    <w:p w:rsidR="002F5A4C" w:rsidRDefault="002F5A4C" w:rsidP="002F5A4C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D97514" w:rsidRDefault="00AD3BFF" w:rsidP="002F5A4C">
      <w:pPr>
        <w:pStyle w:val="20"/>
        <w:shd w:val="clear" w:color="auto" w:fill="auto"/>
        <w:spacing w:before="120" w:after="0" w:line="276" w:lineRule="auto"/>
        <w:ind w:firstLine="800"/>
      </w:pPr>
      <w:r>
        <w:rPr>
          <w:rStyle w:val="21"/>
        </w:rPr>
        <w:t>1. Внести в Порядок открытия</w:t>
      </w:r>
      <w:r>
        <w:rPr>
          <w:rStyle w:val="21"/>
        </w:rPr>
        <w:t xml:space="preserve"> текущих счетов со специальным режимом использования для зачисления и распределения с</w:t>
      </w:r>
      <w:r w:rsidR="001657FE">
        <w:rPr>
          <w:rStyle w:val="21"/>
        </w:rPr>
        <w:t>ре</w:t>
      </w:r>
      <w:proofErr w:type="gramStart"/>
      <w:r w:rsidR="001657FE">
        <w:rPr>
          <w:rStyle w:val="21"/>
        </w:rPr>
        <w:t>дств пр</w:t>
      </w:r>
      <w:proofErr w:type="gramEnd"/>
      <w:r w:rsidR="001657FE">
        <w:rPr>
          <w:rStyle w:val="21"/>
        </w:rPr>
        <w:t>и проведении расчетов з</w:t>
      </w:r>
      <w:r>
        <w:rPr>
          <w:rStyle w:val="21"/>
        </w:rPr>
        <w:t>а электроэнергию, утвержденный Распоряжением Главы Донецкой Народной Республики от 17 апреля 2015 года № 51 «Об урегулировании отношений на</w:t>
      </w:r>
      <w:r>
        <w:rPr>
          <w:rStyle w:val="21"/>
        </w:rPr>
        <w:t xml:space="preserve"> государственном оптовом рынке электрической энергии и мощности Донецкой Народной Республики», следующие изменения:</w:t>
      </w:r>
    </w:p>
    <w:p w:rsidR="00D97514" w:rsidRDefault="00AD3BFF" w:rsidP="002F5A4C">
      <w:pPr>
        <w:pStyle w:val="20"/>
        <w:numPr>
          <w:ilvl w:val="0"/>
          <w:numId w:val="1"/>
        </w:numPr>
        <w:shd w:val="clear" w:color="auto" w:fill="auto"/>
        <w:tabs>
          <w:tab w:val="left" w:pos="1371"/>
        </w:tabs>
        <w:spacing w:before="120" w:after="0" w:line="276" w:lineRule="auto"/>
        <w:ind w:firstLine="800"/>
      </w:pPr>
      <w:r>
        <w:rPr>
          <w:rStyle w:val="21"/>
        </w:rPr>
        <w:t>Пункт 2 изложить в следующей редакции:</w:t>
      </w:r>
    </w:p>
    <w:p w:rsidR="00D97514" w:rsidRDefault="00AD3BFF" w:rsidP="002F5A4C">
      <w:pPr>
        <w:pStyle w:val="20"/>
        <w:shd w:val="clear" w:color="auto" w:fill="auto"/>
        <w:spacing w:before="120" w:after="0" w:line="276" w:lineRule="auto"/>
        <w:ind w:firstLine="800"/>
      </w:pPr>
      <w:r>
        <w:rPr>
          <w:rStyle w:val="21"/>
        </w:rPr>
        <w:lastRenderedPageBreak/>
        <w:t xml:space="preserve">«2. Уполномоченный банк открывает текущие счета со специальным режимом использования на балансовых </w:t>
      </w:r>
      <w:r>
        <w:rPr>
          <w:rStyle w:val="21"/>
        </w:rPr>
        <w:t>счетах № 2603 для субъектов электроэнергетики.</w:t>
      </w:r>
    </w:p>
    <w:p w:rsidR="00D97514" w:rsidRDefault="00AD3BFF" w:rsidP="002F5A4C">
      <w:pPr>
        <w:pStyle w:val="20"/>
        <w:shd w:val="clear" w:color="auto" w:fill="auto"/>
        <w:spacing w:before="120" w:after="0" w:line="276" w:lineRule="auto"/>
        <w:ind w:firstLine="800"/>
      </w:pPr>
      <w:r>
        <w:rPr>
          <w:rStyle w:val="21"/>
        </w:rPr>
        <w:t>Субъектам электроэнергетики могут быть открыты дополнительные текущие счета со специальным режимом использования для зачисления и распределения сумм надбавок к ценам (тарифам) на производство, передачу электри</w:t>
      </w:r>
      <w:r>
        <w:rPr>
          <w:rStyle w:val="21"/>
        </w:rPr>
        <w:t>ческой энергии (в том числе к оптовой рыночной цене), установленных актами Главы Донецкой Народной Республики или Правительства Донецкой Народной Республики</w:t>
      </w:r>
      <w:proofErr w:type="gramStart"/>
      <w:r>
        <w:rPr>
          <w:rStyle w:val="21"/>
        </w:rPr>
        <w:t>.».</w:t>
      </w:r>
      <w:proofErr w:type="gramEnd"/>
    </w:p>
    <w:p w:rsidR="00D97514" w:rsidRDefault="00AD3BFF" w:rsidP="002F5A4C">
      <w:pPr>
        <w:pStyle w:val="20"/>
        <w:numPr>
          <w:ilvl w:val="0"/>
          <w:numId w:val="2"/>
        </w:numPr>
        <w:shd w:val="clear" w:color="auto" w:fill="auto"/>
        <w:tabs>
          <w:tab w:val="left" w:pos="1309"/>
        </w:tabs>
        <w:spacing w:before="120" w:after="0" w:line="276" w:lineRule="auto"/>
        <w:ind w:firstLine="800"/>
      </w:pPr>
      <w:r>
        <w:rPr>
          <w:rStyle w:val="21"/>
        </w:rPr>
        <w:t>В абзаце первом пункта 3 слова «</w:t>
      </w:r>
      <w:proofErr w:type="spellStart"/>
      <w:r>
        <w:rPr>
          <w:rStyle w:val="21"/>
        </w:rPr>
        <w:t>энергопоставщики</w:t>
      </w:r>
      <w:proofErr w:type="spellEnd"/>
      <w:r>
        <w:rPr>
          <w:rStyle w:val="21"/>
        </w:rPr>
        <w:t xml:space="preserve"> и оптовый поставщик электрической энергии» заме</w:t>
      </w:r>
      <w:r>
        <w:rPr>
          <w:rStyle w:val="21"/>
        </w:rPr>
        <w:t>нить словами «субъекты электроэнергетики».</w:t>
      </w:r>
    </w:p>
    <w:p w:rsidR="00D97514" w:rsidRDefault="00AD3BFF" w:rsidP="002F5A4C">
      <w:pPr>
        <w:pStyle w:val="20"/>
        <w:numPr>
          <w:ilvl w:val="0"/>
          <w:numId w:val="2"/>
        </w:numPr>
        <w:shd w:val="clear" w:color="auto" w:fill="auto"/>
        <w:tabs>
          <w:tab w:val="left" w:pos="1309"/>
        </w:tabs>
        <w:spacing w:before="120" w:after="0" w:line="276" w:lineRule="auto"/>
        <w:ind w:firstLine="800"/>
      </w:pPr>
      <w:r>
        <w:rPr>
          <w:rStyle w:val="21"/>
        </w:rPr>
        <w:t>В абзаце втором пункта 3 слово «</w:t>
      </w:r>
      <w:proofErr w:type="spellStart"/>
      <w:r>
        <w:rPr>
          <w:rStyle w:val="21"/>
        </w:rPr>
        <w:t>энергопоставщики</w:t>
      </w:r>
      <w:proofErr w:type="spellEnd"/>
      <w:r>
        <w:rPr>
          <w:rStyle w:val="21"/>
        </w:rPr>
        <w:t>» заменить словами «</w:t>
      </w:r>
      <w:proofErr w:type="spellStart"/>
      <w:r>
        <w:rPr>
          <w:rStyle w:val="21"/>
        </w:rPr>
        <w:t>энергопоставляющая</w:t>
      </w:r>
      <w:proofErr w:type="spellEnd"/>
      <w:r>
        <w:rPr>
          <w:rStyle w:val="21"/>
        </w:rPr>
        <w:t xml:space="preserve"> организация», слово «обязаны» - словом «обязана».</w:t>
      </w:r>
    </w:p>
    <w:p w:rsidR="00D97514" w:rsidRDefault="00AD3BFF" w:rsidP="002F5A4C">
      <w:pPr>
        <w:pStyle w:val="20"/>
        <w:numPr>
          <w:ilvl w:val="0"/>
          <w:numId w:val="2"/>
        </w:numPr>
        <w:shd w:val="clear" w:color="auto" w:fill="auto"/>
        <w:tabs>
          <w:tab w:val="left" w:pos="1309"/>
        </w:tabs>
        <w:spacing w:before="120" w:after="0" w:line="276" w:lineRule="auto"/>
        <w:ind w:firstLine="800"/>
      </w:pPr>
      <w:r>
        <w:rPr>
          <w:rStyle w:val="21"/>
        </w:rPr>
        <w:t>В пункте 4 слово «</w:t>
      </w:r>
      <w:proofErr w:type="spellStart"/>
      <w:r>
        <w:rPr>
          <w:rStyle w:val="21"/>
        </w:rPr>
        <w:t>энергопоставщик</w:t>
      </w:r>
      <w:proofErr w:type="spellEnd"/>
      <w:r>
        <w:rPr>
          <w:rStyle w:val="21"/>
        </w:rPr>
        <w:t>» в соответствующем падеже заменить словами</w:t>
      </w:r>
      <w:r>
        <w:rPr>
          <w:rStyle w:val="21"/>
        </w:rPr>
        <w:t xml:space="preserve"> «</w:t>
      </w:r>
      <w:proofErr w:type="spellStart"/>
      <w:r>
        <w:rPr>
          <w:rStyle w:val="21"/>
        </w:rPr>
        <w:t>энергопоставляющая</w:t>
      </w:r>
      <w:proofErr w:type="spellEnd"/>
      <w:r>
        <w:rPr>
          <w:rStyle w:val="21"/>
        </w:rPr>
        <w:t xml:space="preserve"> организация» в соответствующем падеже.</w:t>
      </w:r>
    </w:p>
    <w:p w:rsidR="00D97514" w:rsidRDefault="00AD3BFF" w:rsidP="002F5A4C">
      <w:pPr>
        <w:pStyle w:val="20"/>
        <w:numPr>
          <w:ilvl w:val="0"/>
          <w:numId w:val="2"/>
        </w:numPr>
        <w:shd w:val="clear" w:color="auto" w:fill="auto"/>
        <w:tabs>
          <w:tab w:val="left" w:pos="1309"/>
        </w:tabs>
        <w:spacing w:before="120" w:after="0" w:line="276" w:lineRule="auto"/>
        <w:ind w:firstLine="800"/>
      </w:pPr>
      <w:r>
        <w:rPr>
          <w:rStyle w:val="21"/>
        </w:rPr>
        <w:t>В абзаце втором пункта 5 слова «оптового поставщика электрической энергии» заменить словами «субъекта электроэнергетики».</w:t>
      </w:r>
    </w:p>
    <w:p w:rsidR="00D97514" w:rsidRDefault="00AD3BFF" w:rsidP="002F5A4C">
      <w:pPr>
        <w:pStyle w:val="20"/>
        <w:numPr>
          <w:ilvl w:val="0"/>
          <w:numId w:val="2"/>
        </w:numPr>
        <w:shd w:val="clear" w:color="auto" w:fill="auto"/>
        <w:tabs>
          <w:tab w:val="left" w:pos="1362"/>
        </w:tabs>
        <w:spacing w:before="120" w:after="0" w:line="276" w:lineRule="auto"/>
        <w:ind w:firstLine="800"/>
      </w:pPr>
      <w:r>
        <w:rPr>
          <w:rStyle w:val="21"/>
        </w:rPr>
        <w:t>Пункт 6 изложить в следующей редакции:</w:t>
      </w:r>
    </w:p>
    <w:p w:rsidR="00D97514" w:rsidRDefault="00AD3BFF" w:rsidP="002F5A4C">
      <w:pPr>
        <w:pStyle w:val="20"/>
        <w:shd w:val="clear" w:color="auto" w:fill="auto"/>
        <w:spacing w:before="120" w:after="0" w:line="276" w:lineRule="auto"/>
        <w:ind w:firstLine="800"/>
      </w:pPr>
      <w:r>
        <w:rPr>
          <w:rStyle w:val="21"/>
        </w:rPr>
        <w:t xml:space="preserve">«6. Уполномоченный банк до 10:00 </w:t>
      </w:r>
      <w:proofErr w:type="gramStart"/>
      <w:r>
        <w:rPr>
          <w:rStyle w:val="21"/>
        </w:rPr>
        <w:t>МСК</w:t>
      </w:r>
      <w:proofErr w:type="gramEnd"/>
      <w:r>
        <w:rPr>
          <w:rStyle w:val="21"/>
        </w:rPr>
        <w:t xml:space="preserve"> текущего операционного дня должен выполнить перечисления с текущих счетов со специальным режимом использования субъектов электроэнергетики Донецкой Народной Республики остатков денежных средств на начало операционного дня согласно алгоритмам, утвержден</w:t>
      </w:r>
      <w:r>
        <w:rPr>
          <w:rStyle w:val="21"/>
        </w:rPr>
        <w:t>ным постановлениями Республиканской службы по тарифам Донецкой Народной Республики.</w:t>
      </w:r>
    </w:p>
    <w:p w:rsidR="00D97514" w:rsidRDefault="00AD3BFF" w:rsidP="002F5A4C">
      <w:pPr>
        <w:pStyle w:val="20"/>
        <w:shd w:val="clear" w:color="auto" w:fill="auto"/>
        <w:spacing w:before="120" w:after="0" w:line="276" w:lineRule="auto"/>
        <w:ind w:firstLine="800"/>
      </w:pPr>
      <w:r>
        <w:rPr>
          <w:rStyle w:val="21"/>
        </w:rPr>
        <w:t xml:space="preserve">Уполномоченный банк до 16:00 </w:t>
      </w:r>
      <w:proofErr w:type="gramStart"/>
      <w:r>
        <w:rPr>
          <w:rStyle w:val="21"/>
        </w:rPr>
        <w:t>МСК</w:t>
      </w:r>
      <w:proofErr w:type="gramEnd"/>
      <w:r>
        <w:rPr>
          <w:rStyle w:val="21"/>
        </w:rPr>
        <w:t xml:space="preserve"> текущего операционного дня должен выполнить перечисления денежных средств, поступивших в течение текущего операционного дня на текущие </w:t>
      </w:r>
      <w:r>
        <w:rPr>
          <w:rStyle w:val="21"/>
        </w:rPr>
        <w:t>счета со специальным режимом использования субъектов электроэнергетики, согласно алгоритмам, утвержденным постановлениями Республиканской службы по тарифам Донецкой Народной Республики.</w:t>
      </w:r>
    </w:p>
    <w:p w:rsidR="00D97514" w:rsidRDefault="00AD3BFF" w:rsidP="002F5A4C">
      <w:pPr>
        <w:pStyle w:val="20"/>
        <w:shd w:val="clear" w:color="auto" w:fill="auto"/>
        <w:spacing w:before="120" w:after="0" w:line="276" w:lineRule="auto"/>
        <w:ind w:firstLine="800"/>
      </w:pPr>
      <w:r>
        <w:rPr>
          <w:rStyle w:val="21"/>
        </w:rPr>
        <w:t>В последний операционный день текущего месяца уполномоченный банк долж</w:t>
      </w:r>
      <w:r>
        <w:rPr>
          <w:rStyle w:val="21"/>
        </w:rPr>
        <w:t xml:space="preserve">ен выполнить перечисления денежных средств, поступивших на </w:t>
      </w:r>
      <w:r>
        <w:rPr>
          <w:rStyle w:val="21"/>
        </w:rPr>
        <w:lastRenderedPageBreak/>
        <w:t xml:space="preserve">текущие счета со специальным режимом использования </w:t>
      </w:r>
      <w:proofErr w:type="spellStart"/>
      <w:r>
        <w:rPr>
          <w:rStyle w:val="21"/>
        </w:rPr>
        <w:t>энергопоставляющих</w:t>
      </w:r>
      <w:proofErr w:type="spellEnd"/>
      <w:r>
        <w:rPr>
          <w:rStyle w:val="21"/>
        </w:rPr>
        <w:t xml:space="preserve"> организаций до 21:00 </w:t>
      </w:r>
      <w:proofErr w:type="gramStart"/>
      <w:r>
        <w:rPr>
          <w:rStyle w:val="21"/>
        </w:rPr>
        <w:t>МСК</w:t>
      </w:r>
      <w:proofErr w:type="gramEnd"/>
      <w:r>
        <w:rPr>
          <w:rStyle w:val="21"/>
        </w:rPr>
        <w:t xml:space="preserve"> согласно алгоритмам, утвержденным постановлениями Республиканской службы по тарифам Донецкой Народной </w:t>
      </w:r>
      <w:r>
        <w:rPr>
          <w:rStyle w:val="21"/>
        </w:rPr>
        <w:t>Республики.</w:t>
      </w:r>
    </w:p>
    <w:p w:rsidR="00D97514" w:rsidRDefault="00AD3BFF" w:rsidP="002F5A4C">
      <w:pPr>
        <w:pStyle w:val="20"/>
        <w:shd w:val="clear" w:color="auto" w:fill="auto"/>
        <w:spacing w:before="120" w:after="0" w:line="276" w:lineRule="auto"/>
        <w:ind w:firstLine="760"/>
      </w:pPr>
      <w:r>
        <w:rPr>
          <w:rStyle w:val="21"/>
        </w:rPr>
        <w:t>Порядок перечисления денежных средств, указанный в абзаце третьем настоящего пункта, не применяется при распределении денежных средств, поступающих на текущий счет со специальным режимом использования оптового поставщика электрической энергии с</w:t>
      </w:r>
      <w:r>
        <w:rPr>
          <w:rStyle w:val="21"/>
        </w:rPr>
        <w:t xml:space="preserve"> территории Луганской Народной Республики</w:t>
      </w:r>
      <w:proofErr w:type="gramStart"/>
      <w:r>
        <w:rPr>
          <w:rStyle w:val="21"/>
        </w:rPr>
        <w:t>.».</w:t>
      </w:r>
      <w:proofErr w:type="gramEnd"/>
    </w:p>
    <w:p w:rsidR="00D97514" w:rsidRDefault="00AD3BFF" w:rsidP="002F5A4C">
      <w:pPr>
        <w:pStyle w:val="20"/>
        <w:numPr>
          <w:ilvl w:val="1"/>
          <w:numId w:val="1"/>
        </w:numPr>
        <w:shd w:val="clear" w:color="auto" w:fill="auto"/>
        <w:tabs>
          <w:tab w:val="left" w:pos="1378"/>
        </w:tabs>
        <w:spacing w:before="120" w:after="0" w:line="276" w:lineRule="auto"/>
        <w:ind w:firstLine="760"/>
      </w:pPr>
      <w:r>
        <w:rPr>
          <w:rStyle w:val="21"/>
        </w:rPr>
        <w:t>Пункт 7 исключить, в связи с этим пункт 8 считать пунктом 7.</w:t>
      </w:r>
    </w:p>
    <w:p w:rsidR="00D97514" w:rsidRDefault="00AD3BFF" w:rsidP="002F5A4C">
      <w:pPr>
        <w:pStyle w:val="a9"/>
        <w:shd w:val="clear" w:color="auto" w:fill="auto"/>
        <w:spacing w:before="120" w:line="276" w:lineRule="auto"/>
        <w:ind w:firstLine="760"/>
        <w:jc w:val="both"/>
      </w:pPr>
      <w:r>
        <w:rPr>
          <w:rStyle w:val="aa"/>
        </w:rPr>
        <w:t>2. Настоящее Распоряжение вступает в силу со дня его официального опубликования.</w:t>
      </w:r>
    </w:p>
    <w:p w:rsidR="002F5A4C" w:rsidRDefault="002F5A4C" w:rsidP="002F5A4C">
      <w:pPr>
        <w:pStyle w:val="20"/>
        <w:shd w:val="clear" w:color="auto" w:fill="auto"/>
        <w:spacing w:before="0" w:after="0" w:line="276" w:lineRule="auto"/>
        <w:ind w:right="420"/>
        <w:jc w:val="left"/>
        <w:rPr>
          <w:rStyle w:val="21"/>
        </w:rPr>
      </w:pPr>
    </w:p>
    <w:p w:rsidR="002F5A4C" w:rsidRDefault="002F5A4C" w:rsidP="002F5A4C">
      <w:pPr>
        <w:pStyle w:val="20"/>
        <w:shd w:val="clear" w:color="auto" w:fill="auto"/>
        <w:spacing w:before="0" w:after="0" w:line="276" w:lineRule="auto"/>
        <w:ind w:right="420"/>
        <w:jc w:val="left"/>
        <w:rPr>
          <w:rStyle w:val="21"/>
        </w:rPr>
      </w:pPr>
    </w:p>
    <w:p w:rsidR="002F5A4C" w:rsidRDefault="002F5A4C" w:rsidP="002F5A4C">
      <w:pPr>
        <w:pStyle w:val="20"/>
        <w:shd w:val="clear" w:color="auto" w:fill="auto"/>
        <w:spacing w:before="0" w:after="0" w:line="276" w:lineRule="auto"/>
        <w:ind w:right="420"/>
        <w:jc w:val="left"/>
        <w:rPr>
          <w:rStyle w:val="21"/>
        </w:rPr>
      </w:pPr>
    </w:p>
    <w:p w:rsidR="002F5A4C" w:rsidRDefault="002F5A4C" w:rsidP="002F5A4C">
      <w:pPr>
        <w:pStyle w:val="20"/>
        <w:shd w:val="clear" w:color="auto" w:fill="auto"/>
        <w:spacing w:before="0" w:after="0" w:line="276" w:lineRule="auto"/>
        <w:ind w:right="420" w:firstLine="851"/>
        <w:jc w:val="left"/>
        <w:rPr>
          <w:rStyle w:val="21"/>
        </w:rPr>
      </w:pPr>
      <w:r>
        <w:rPr>
          <w:rStyle w:val="21"/>
        </w:rPr>
        <w:t>Глава</w:t>
      </w:r>
    </w:p>
    <w:p w:rsidR="00D97514" w:rsidRDefault="002F5A4C" w:rsidP="002F5A4C">
      <w:pPr>
        <w:pStyle w:val="20"/>
        <w:shd w:val="clear" w:color="auto" w:fill="auto"/>
        <w:spacing w:before="0" w:after="0" w:line="276" w:lineRule="auto"/>
        <w:ind w:right="420"/>
        <w:jc w:val="left"/>
        <w:rPr>
          <w:rStyle w:val="21"/>
        </w:rPr>
      </w:pPr>
      <w:r>
        <w:rPr>
          <w:rStyle w:val="21"/>
        </w:rPr>
        <w:t xml:space="preserve">Донецкой Народной Республики                                           </w:t>
      </w:r>
      <w:r w:rsidR="00AD3BFF">
        <w:rPr>
          <w:rStyle w:val="21"/>
        </w:rPr>
        <w:t xml:space="preserve">Д. В. </w:t>
      </w:r>
      <w:proofErr w:type="spellStart"/>
      <w:r w:rsidR="00AD3BFF">
        <w:rPr>
          <w:rStyle w:val="21"/>
        </w:rPr>
        <w:t>Пушилин</w:t>
      </w:r>
      <w:proofErr w:type="spellEnd"/>
    </w:p>
    <w:p w:rsidR="002F5A4C" w:rsidRDefault="002F5A4C" w:rsidP="002F5A4C">
      <w:pPr>
        <w:pStyle w:val="20"/>
        <w:shd w:val="clear" w:color="auto" w:fill="auto"/>
        <w:spacing w:before="0" w:after="0" w:line="276" w:lineRule="auto"/>
        <w:ind w:right="420"/>
        <w:jc w:val="left"/>
        <w:rPr>
          <w:rStyle w:val="21"/>
        </w:rPr>
      </w:pPr>
    </w:p>
    <w:p w:rsidR="002F5A4C" w:rsidRDefault="002F5A4C" w:rsidP="002F5A4C">
      <w:pPr>
        <w:pStyle w:val="20"/>
        <w:shd w:val="clear" w:color="auto" w:fill="auto"/>
        <w:spacing w:before="0" w:after="0" w:line="276" w:lineRule="auto"/>
        <w:ind w:right="420"/>
        <w:jc w:val="left"/>
        <w:rPr>
          <w:rStyle w:val="21"/>
        </w:rPr>
      </w:pPr>
      <w:r>
        <w:rPr>
          <w:rStyle w:val="21"/>
        </w:rPr>
        <w:t>«</w:t>
      </w:r>
      <w:r>
        <w:rPr>
          <w:rStyle w:val="21"/>
          <w:u w:val="single"/>
        </w:rPr>
        <w:t>11</w:t>
      </w:r>
      <w:r>
        <w:rPr>
          <w:rStyle w:val="21"/>
        </w:rPr>
        <w:t xml:space="preserve">»  </w:t>
      </w:r>
      <w:r>
        <w:rPr>
          <w:rStyle w:val="21"/>
          <w:u w:val="single"/>
        </w:rPr>
        <w:t>июля</w:t>
      </w:r>
      <w:r>
        <w:rPr>
          <w:rStyle w:val="21"/>
        </w:rPr>
        <w:t xml:space="preserve">  2019 года</w:t>
      </w:r>
    </w:p>
    <w:p w:rsidR="002F5A4C" w:rsidRPr="002F5A4C" w:rsidRDefault="002F5A4C" w:rsidP="002F5A4C">
      <w:pPr>
        <w:pStyle w:val="20"/>
        <w:shd w:val="clear" w:color="auto" w:fill="auto"/>
        <w:spacing w:before="0" w:after="0" w:line="276" w:lineRule="auto"/>
        <w:ind w:right="420"/>
        <w:jc w:val="left"/>
      </w:pPr>
      <w:r>
        <w:rPr>
          <w:rStyle w:val="21"/>
        </w:rPr>
        <w:t>№ 209</w:t>
      </w:r>
    </w:p>
    <w:sectPr w:rsidR="002F5A4C" w:rsidRPr="002F5A4C" w:rsidSect="002F5A4C">
      <w:headerReference w:type="even" r:id="rId11"/>
      <w:headerReference w:type="default" r:id="rId12"/>
      <w:headerReference w:type="first" r:id="rId13"/>
      <w:type w:val="continuous"/>
      <w:pgSz w:w="11900" w:h="16840"/>
      <w:pgMar w:top="1134" w:right="522" w:bottom="782" w:left="15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BFF" w:rsidRDefault="00AD3BFF">
      <w:r>
        <w:separator/>
      </w:r>
    </w:p>
  </w:endnote>
  <w:endnote w:type="continuationSeparator" w:id="0">
    <w:p w:rsidR="00AD3BFF" w:rsidRDefault="00AD3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BFF" w:rsidRDefault="00AD3BFF"/>
  </w:footnote>
  <w:footnote w:type="continuationSeparator" w:id="0">
    <w:p w:rsidR="00AD3BFF" w:rsidRDefault="00AD3B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514" w:rsidRDefault="00AD3BF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2.95pt;margin-top:40.6pt;width:4.8pt;height:7.2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97514" w:rsidRDefault="00AD3BFF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657FE" w:rsidRPr="001657FE">
                  <w:rPr>
                    <w:rStyle w:val="a6"/>
                    <w:b/>
                    <w:bCs/>
                    <w:noProof/>
                  </w:rPr>
                  <w:t>2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514" w:rsidRDefault="00AD3BF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1.35pt;margin-top:58.65pt;width:4.8pt;height:7.2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97514" w:rsidRDefault="00AD3BFF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514" w:rsidRDefault="00AD3BF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88.7pt;margin-top:17.4pt;width:465.35pt;height:57.35pt;z-index:-18874406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97514" w:rsidRDefault="00AD3BFF">
                <w:pPr>
                  <w:pStyle w:val="a5"/>
                  <w:shd w:val="clear" w:color="auto" w:fill="auto"/>
                  <w:tabs>
                    <w:tab w:val="right" w:pos="9307"/>
                  </w:tabs>
                  <w:spacing w:line="240" w:lineRule="auto"/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316C0"/>
    <w:multiLevelType w:val="multilevel"/>
    <w:tmpl w:val="E1109CF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6D20EB"/>
    <w:multiLevelType w:val="multilevel"/>
    <w:tmpl w:val="38A20A2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97514"/>
    <w:rsid w:val="001657FE"/>
    <w:rsid w:val="002F5A4C"/>
    <w:rsid w:val="00AD3BFF"/>
    <w:rsid w:val="00D9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a">
    <w:name w:val="Подпись к картинк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line="360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5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346" w:lineRule="exact"/>
      <w:ind w:firstLine="740"/>
    </w:pPr>
    <w:rPr>
      <w:rFonts w:ascii="Times New Roman" w:eastAsia="Times New Roman" w:hAnsi="Times New Roman" w:cs="Times New Roman"/>
      <w:sz w:val="30"/>
      <w:szCs w:val="30"/>
    </w:rPr>
  </w:style>
  <w:style w:type="paragraph" w:styleId="ab">
    <w:name w:val="Balloon Text"/>
    <w:basedOn w:val="a"/>
    <w:link w:val="ac"/>
    <w:uiPriority w:val="99"/>
    <w:semiHidden/>
    <w:unhideWhenUsed/>
    <w:rsid w:val="002F5A4C"/>
    <w:rPr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5A4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45-ihc-ob-elektroenergetik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630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2019-07-30T09:55:00Z</dcterms:created>
  <dcterms:modified xsi:type="dcterms:W3CDTF">2019-07-30T10:04:00Z</dcterms:modified>
</cp:coreProperties>
</file>