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1D7" w:rsidRDefault="0009205C" w:rsidP="004870E2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0;width:82.1pt;height:70.5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0B11D7" w:rsidRDefault="000B11D7" w:rsidP="004870E2">
      <w:pPr>
        <w:spacing w:line="276" w:lineRule="auto"/>
      </w:pPr>
    </w:p>
    <w:p w:rsidR="000B11D7" w:rsidRDefault="000B11D7" w:rsidP="004870E2">
      <w:pPr>
        <w:spacing w:line="276" w:lineRule="auto"/>
      </w:pPr>
    </w:p>
    <w:p w:rsidR="004870E2" w:rsidRDefault="004870E2" w:rsidP="004870E2">
      <w:pPr>
        <w:spacing w:line="276" w:lineRule="auto"/>
      </w:pPr>
    </w:p>
    <w:p w:rsidR="004870E2" w:rsidRDefault="004870E2" w:rsidP="004870E2">
      <w:pPr>
        <w:pStyle w:val="10"/>
        <w:keepNext/>
        <w:keepLines/>
        <w:shd w:val="clear" w:color="auto" w:fill="auto"/>
        <w:spacing w:line="276" w:lineRule="auto"/>
      </w:pPr>
      <w:bookmarkStart w:id="0" w:name="bookmark0"/>
    </w:p>
    <w:p w:rsidR="000B11D7" w:rsidRDefault="0009205C" w:rsidP="004870E2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0B11D7" w:rsidRDefault="0009205C" w:rsidP="004870E2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4870E2" w:rsidRDefault="004870E2" w:rsidP="004870E2">
      <w:pPr>
        <w:pStyle w:val="10"/>
        <w:keepNext/>
        <w:keepLines/>
        <w:shd w:val="clear" w:color="auto" w:fill="auto"/>
        <w:spacing w:line="276" w:lineRule="auto"/>
      </w:pPr>
    </w:p>
    <w:p w:rsidR="000B11D7" w:rsidRDefault="0009205C" w:rsidP="004870E2">
      <w:pPr>
        <w:pStyle w:val="30"/>
        <w:shd w:val="clear" w:color="auto" w:fill="auto"/>
        <w:spacing w:before="0" w:line="276" w:lineRule="auto"/>
      </w:pPr>
      <w:r>
        <w:t>ПОСТАНОВЛЕНИЕ</w:t>
      </w:r>
    </w:p>
    <w:p w:rsidR="004870E2" w:rsidRDefault="004870E2" w:rsidP="004870E2">
      <w:pPr>
        <w:pStyle w:val="30"/>
        <w:shd w:val="clear" w:color="auto" w:fill="auto"/>
        <w:spacing w:before="0" w:line="276" w:lineRule="auto"/>
      </w:pPr>
    </w:p>
    <w:p w:rsidR="000B11D7" w:rsidRDefault="0009205C" w:rsidP="004870E2">
      <w:pPr>
        <w:pStyle w:val="20"/>
        <w:keepNext/>
        <w:keepLines/>
        <w:shd w:val="clear" w:color="auto" w:fill="auto"/>
        <w:spacing w:line="276" w:lineRule="auto"/>
      </w:pPr>
      <w:bookmarkStart w:id="2" w:name="bookmark2"/>
      <w:r>
        <w:t>от 05 июля 2019 г. № 14-10</w:t>
      </w:r>
      <w:bookmarkEnd w:id="2"/>
    </w:p>
    <w:p w:rsidR="004870E2" w:rsidRDefault="004870E2" w:rsidP="004870E2">
      <w:pPr>
        <w:pStyle w:val="20"/>
        <w:keepNext/>
        <w:keepLines/>
        <w:shd w:val="clear" w:color="auto" w:fill="auto"/>
        <w:spacing w:line="276" w:lineRule="auto"/>
      </w:pPr>
    </w:p>
    <w:p w:rsidR="004870E2" w:rsidRDefault="004870E2" w:rsidP="004870E2">
      <w:pPr>
        <w:pStyle w:val="20"/>
        <w:keepNext/>
        <w:keepLines/>
        <w:shd w:val="clear" w:color="auto" w:fill="auto"/>
        <w:spacing w:line="276" w:lineRule="auto"/>
      </w:pPr>
    </w:p>
    <w:p w:rsidR="000B11D7" w:rsidRDefault="0009205C" w:rsidP="004870E2">
      <w:pPr>
        <w:pStyle w:val="20"/>
        <w:keepNext/>
        <w:keepLines/>
        <w:shd w:val="clear" w:color="auto" w:fill="auto"/>
        <w:spacing w:line="276" w:lineRule="auto"/>
      </w:pPr>
      <w:bookmarkStart w:id="3" w:name="bookmark3"/>
      <w:r>
        <w:t xml:space="preserve">Об утверждении методики осуществления мониторинга </w:t>
      </w:r>
      <w:proofErr w:type="spellStart"/>
      <w:r>
        <w:t>правоприменения</w:t>
      </w:r>
      <w:bookmarkEnd w:id="3"/>
      <w:proofErr w:type="spellEnd"/>
    </w:p>
    <w:p w:rsidR="000B11D7" w:rsidRDefault="0009205C" w:rsidP="004870E2">
      <w:pPr>
        <w:pStyle w:val="20"/>
        <w:keepNext/>
        <w:keepLines/>
        <w:shd w:val="clear" w:color="auto" w:fill="auto"/>
        <w:spacing w:line="276" w:lineRule="auto"/>
      </w:pPr>
      <w:bookmarkStart w:id="4" w:name="bookmark4"/>
      <w:r>
        <w:t>в Донецкой Народной Республике</w:t>
      </w:r>
      <w:bookmarkEnd w:id="4"/>
    </w:p>
    <w:p w:rsidR="004870E2" w:rsidRDefault="004870E2" w:rsidP="004870E2">
      <w:pPr>
        <w:pStyle w:val="20"/>
        <w:keepNext/>
        <w:keepLines/>
        <w:shd w:val="clear" w:color="auto" w:fill="auto"/>
        <w:spacing w:line="276" w:lineRule="auto"/>
      </w:pPr>
    </w:p>
    <w:p w:rsidR="004870E2" w:rsidRDefault="004870E2" w:rsidP="004870E2">
      <w:pPr>
        <w:pStyle w:val="20"/>
        <w:keepNext/>
        <w:keepLines/>
        <w:shd w:val="clear" w:color="auto" w:fill="auto"/>
        <w:spacing w:line="276" w:lineRule="auto"/>
      </w:pPr>
    </w:p>
    <w:p w:rsidR="000B11D7" w:rsidRDefault="0009205C" w:rsidP="004870E2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В целях реализации части 3 статьи 54 </w:t>
      </w:r>
      <w:hyperlink r:id="rId9" w:history="1">
        <w:r w:rsidRPr="004870E2">
          <w:rPr>
            <w:rStyle w:val="a3"/>
          </w:rPr>
          <w:t xml:space="preserve">Закона Донецкой Народной Республики от 07 августа 2015 года № </w:t>
        </w:r>
        <w:r w:rsidRPr="004870E2">
          <w:rPr>
            <w:rStyle w:val="a3"/>
            <w:lang w:eastAsia="en-US" w:bidi="en-US"/>
          </w:rPr>
          <w:t>72-</w:t>
        </w:r>
        <w:r w:rsidRPr="004870E2">
          <w:rPr>
            <w:rStyle w:val="a3"/>
            <w:lang w:val="en-US" w:eastAsia="en-US" w:bidi="en-US"/>
          </w:rPr>
          <w:t>IHC</w:t>
        </w:r>
        <w:r w:rsidRPr="004870E2">
          <w:rPr>
            <w:rStyle w:val="a3"/>
            <w:lang w:eastAsia="en-US" w:bidi="en-US"/>
          </w:rPr>
          <w:t xml:space="preserve"> </w:t>
        </w:r>
        <w:r w:rsidRPr="004870E2">
          <w:rPr>
            <w:rStyle w:val="a3"/>
          </w:rPr>
          <w:t>«О нормативных правовых актах»</w:t>
        </w:r>
      </w:hyperlink>
      <w:r>
        <w:t xml:space="preserve">, в соответствии с пунктом 2 </w:t>
      </w:r>
      <w:hyperlink r:id="rId10" w:history="1">
        <w:r w:rsidRPr="005614F4">
          <w:rPr>
            <w:rStyle w:val="a3"/>
          </w:rPr>
          <w:t>Указа Главы Донецкой Народной Республики от 25 декабря 2018 года №148 «Об утверждении Поряд</w:t>
        </w:r>
        <w:r w:rsidRPr="005614F4">
          <w:rPr>
            <w:rStyle w:val="a3"/>
          </w:rPr>
          <w:t xml:space="preserve">ка осуществления мониторинга </w:t>
        </w:r>
        <w:proofErr w:type="spellStart"/>
        <w:r w:rsidRPr="005614F4">
          <w:rPr>
            <w:rStyle w:val="a3"/>
          </w:rPr>
          <w:t>правоприменения</w:t>
        </w:r>
        <w:proofErr w:type="spellEnd"/>
        <w:r w:rsidRPr="005614F4">
          <w:rPr>
            <w:rStyle w:val="a3"/>
          </w:rPr>
          <w:t xml:space="preserve"> в Донецкой Народной Республике»</w:t>
        </w:r>
      </w:hyperlink>
      <w:bookmarkStart w:id="5" w:name="_GoBack"/>
      <w:bookmarkEnd w:id="5"/>
      <w:r>
        <w:t xml:space="preserve"> Правительство Донецкой Народной Республики</w:t>
      </w:r>
      <w:proofErr w:type="gramEnd"/>
    </w:p>
    <w:p w:rsidR="004870E2" w:rsidRDefault="004870E2" w:rsidP="004870E2">
      <w:pPr>
        <w:pStyle w:val="20"/>
        <w:keepNext/>
        <w:keepLines/>
        <w:shd w:val="clear" w:color="auto" w:fill="auto"/>
        <w:spacing w:line="276" w:lineRule="auto"/>
        <w:jc w:val="left"/>
      </w:pPr>
      <w:bookmarkStart w:id="6" w:name="bookmark5"/>
    </w:p>
    <w:p w:rsidR="000B11D7" w:rsidRDefault="0009205C" w:rsidP="004870E2">
      <w:pPr>
        <w:pStyle w:val="20"/>
        <w:keepNext/>
        <w:keepLines/>
        <w:shd w:val="clear" w:color="auto" w:fill="auto"/>
        <w:spacing w:line="276" w:lineRule="auto"/>
        <w:jc w:val="left"/>
      </w:pPr>
      <w:r>
        <w:t>ПОСТАНОВЛЯЕТ:</w:t>
      </w:r>
      <w:bookmarkEnd w:id="6"/>
    </w:p>
    <w:p w:rsidR="004870E2" w:rsidRDefault="004870E2" w:rsidP="004870E2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0B11D7" w:rsidRDefault="0009205C" w:rsidP="004870E2">
      <w:pPr>
        <w:pStyle w:val="22"/>
        <w:numPr>
          <w:ilvl w:val="0"/>
          <w:numId w:val="1"/>
        </w:numPr>
        <w:shd w:val="clear" w:color="auto" w:fill="auto"/>
        <w:tabs>
          <w:tab w:val="left" w:pos="1088"/>
        </w:tabs>
        <w:spacing w:before="120" w:after="0" w:line="276" w:lineRule="auto"/>
        <w:ind w:firstLine="743"/>
      </w:pPr>
      <w:r>
        <w:t xml:space="preserve">Утвердить методику осуществления мониторинга </w:t>
      </w:r>
      <w:proofErr w:type="spellStart"/>
      <w:r>
        <w:t>правоприменения</w:t>
      </w:r>
      <w:proofErr w:type="spellEnd"/>
      <w:r>
        <w:t xml:space="preserve"> в Донецкой Народной Республике (прилагается).</w:t>
      </w:r>
    </w:p>
    <w:p w:rsidR="000B11D7" w:rsidRDefault="0009205C" w:rsidP="004870E2">
      <w:pPr>
        <w:pStyle w:val="22"/>
        <w:numPr>
          <w:ilvl w:val="0"/>
          <w:numId w:val="1"/>
        </w:numPr>
        <w:shd w:val="clear" w:color="auto" w:fill="auto"/>
        <w:tabs>
          <w:tab w:val="left" w:pos="1083"/>
        </w:tabs>
        <w:spacing w:before="120" w:after="0" w:line="276" w:lineRule="auto"/>
        <w:ind w:firstLine="743"/>
      </w:pPr>
      <w:r>
        <w:t xml:space="preserve">Настоящее </w:t>
      </w:r>
      <w:r>
        <w:t>Постановление вступает в силу со дня официального опубликования.</w:t>
      </w:r>
    </w:p>
    <w:p w:rsidR="004870E2" w:rsidRDefault="004870E2" w:rsidP="004870E2">
      <w:pPr>
        <w:pStyle w:val="22"/>
        <w:shd w:val="clear" w:color="auto" w:fill="auto"/>
        <w:tabs>
          <w:tab w:val="left" w:pos="1083"/>
        </w:tabs>
        <w:spacing w:before="0" w:after="0" w:line="276" w:lineRule="auto"/>
      </w:pPr>
    </w:p>
    <w:p w:rsidR="004870E2" w:rsidRDefault="0009205C" w:rsidP="004870E2">
      <w:pPr>
        <w:pStyle w:val="4"/>
        <w:shd w:val="clear" w:color="auto" w:fill="auto"/>
        <w:spacing w:line="280" w:lineRule="exact"/>
      </w:pPr>
      <w:bookmarkStart w:id="7" w:name="bookmark6"/>
      <w:r>
        <w:t>Председатель Правительства</w:t>
      </w:r>
      <w:bookmarkEnd w:id="7"/>
      <w:r w:rsidR="004870E2">
        <w:t xml:space="preserve">                                                 </w:t>
      </w:r>
      <w:r w:rsidR="004870E2">
        <w:t>А. Е. Ананченко</w:t>
      </w:r>
    </w:p>
    <w:p w:rsidR="000B11D7" w:rsidRDefault="000B11D7" w:rsidP="004870E2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4870E2" w:rsidRDefault="004870E2" w:rsidP="004870E2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4870E2" w:rsidRDefault="004870E2" w:rsidP="004870E2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4870E2" w:rsidRDefault="004870E2" w:rsidP="004870E2">
      <w:pPr>
        <w:pStyle w:val="20"/>
        <w:keepNext/>
        <w:keepLines/>
        <w:shd w:val="clear" w:color="auto" w:fill="auto"/>
        <w:spacing w:line="276" w:lineRule="auto"/>
        <w:jc w:val="left"/>
        <w:sectPr w:rsidR="004870E2" w:rsidSect="004870E2">
          <w:type w:val="continuous"/>
          <w:pgSz w:w="11900" w:h="16840"/>
          <w:pgMar w:top="1134" w:right="560" w:bottom="1134" w:left="1701" w:header="0" w:footer="3" w:gutter="0"/>
          <w:cols w:space="720"/>
          <w:noEndnote/>
          <w:docGrid w:linePitch="360"/>
        </w:sectPr>
      </w:pPr>
    </w:p>
    <w:p w:rsidR="000B11D7" w:rsidRDefault="0009205C" w:rsidP="004870E2">
      <w:pPr>
        <w:pStyle w:val="22"/>
        <w:shd w:val="clear" w:color="auto" w:fill="auto"/>
        <w:spacing w:before="0" w:after="0" w:line="276" w:lineRule="auto"/>
        <w:ind w:left="5560"/>
      </w:pPr>
      <w:r>
        <w:lastRenderedPageBreak/>
        <w:t>УТВЕРЖДЕНА</w:t>
      </w:r>
    </w:p>
    <w:p w:rsidR="000B11D7" w:rsidRDefault="0009205C" w:rsidP="004870E2">
      <w:pPr>
        <w:pStyle w:val="22"/>
        <w:shd w:val="clear" w:color="auto" w:fill="auto"/>
        <w:spacing w:before="0" w:after="0" w:line="276" w:lineRule="auto"/>
        <w:ind w:left="5560"/>
      </w:pPr>
      <w:r>
        <w:t>Постановлением Правительства</w:t>
      </w:r>
    </w:p>
    <w:p w:rsidR="000B11D7" w:rsidRDefault="0009205C" w:rsidP="004870E2">
      <w:pPr>
        <w:pStyle w:val="22"/>
        <w:shd w:val="clear" w:color="auto" w:fill="auto"/>
        <w:spacing w:before="0" w:after="0" w:line="276" w:lineRule="auto"/>
        <w:ind w:left="5560"/>
      </w:pPr>
      <w:r>
        <w:t>Донецкой Народной Республики</w:t>
      </w:r>
    </w:p>
    <w:p w:rsidR="000B11D7" w:rsidRDefault="0009205C" w:rsidP="004870E2">
      <w:pPr>
        <w:pStyle w:val="22"/>
        <w:shd w:val="clear" w:color="auto" w:fill="auto"/>
        <w:spacing w:before="0" w:after="0" w:line="276" w:lineRule="auto"/>
        <w:ind w:left="5560"/>
      </w:pPr>
      <w:r>
        <w:t>от 05 июля 2019 г. № 14-10</w:t>
      </w:r>
    </w:p>
    <w:p w:rsidR="004870E2" w:rsidRDefault="004870E2" w:rsidP="004870E2">
      <w:pPr>
        <w:pStyle w:val="20"/>
        <w:keepNext/>
        <w:keepLines/>
        <w:shd w:val="clear" w:color="auto" w:fill="auto"/>
        <w:spacing w:line="276" w:lineRule="auto"/>
      </w:pPr>
      <w:bookmarkStart w:id="8" w:name="bookmark7"/>
    </w:p>
    <w:p w:rsidR="004870E2" w:rsidRDefault="004870E2" w:rsidP="004870E2">
      <w:pPr>
        <w:pStyle w:val="20"/>
        <w:keepNext/>
        <w:keepLines/>
        <w:shd w:val="clear" w:color="auto" w:fill="auto"/>
        <w:spacing w:line="276" w:lineRule="auto"/>
      </w:pPr>
    </w:p>
    <w:p w:rsidR="000B11D7" w:rsidRDefault="0009205C" w:rsidP="004870E2">
      <w:pPr>
        <w:pStyle w:val="20"/>
        <w:keepNext/>
        <w:keepLines/>
        <w:shd w:val="clear" w:color="auto" w:fill="auto"/>
        <w:spacing w:line="276" w:lineRule="auto"/>
      </w:pPr>
      <w:r>
        <w:t>МЕТОДИКА</w:t>
      </w:r>
      <w:bookmarkEnd w:id="8"/>
    </w:p>
    <w:p w:rsidR="000B11D7" w:rsidRDefault="0009205C" w:rsidP="004870E2">
      <w:pPr>
        <w:pStyle w:val="20"/>
        <w:keepNext/>
        <w:keepLines/>
        <w:shd w:val="clear" w:color="auto" w:fill="auto"/>
        <w:spacing w:line="276" w:lineRule="auto"/>
      </w:pPr>
      <w:bookmarkStart w:id="9" w:name="bookmark8"/>
      <w:r>
        <w:t xml:space="preserve">ОСУЩЕСТВЛЕНИЯ </w:t>
      </w:r>
      <w:r>
        <w:t>МОНИТОРИНГА ПРАВОПРИМЕНЕНИЯ</w:t>
      </w:r>
      <w:r>
        <w:br/>
        <w:t>В ДОНЕЦКОЙ НАРОДНОЙ РЕСПУБЛИКЕ</w:t>
      </w:r>
      <w:bookmarkEnd w:id="9"/>
    </w:p>
    <w:p w:rsidR="004870E2" w:rsidRDefault="004870E2" w:rsidP="004870E2">
      <w:pPr>
        <w:pStyle w:val="20"/>
        <w:keepNext/>
        <w:keepLines/>
        <w:shd w:val="clear" w:color="auto" w:fill="auto"/>
        <w:spacing w:line="276" w:lineRule="auto"/>
      </w:pPr>
    </w:p>
    <w:p w:rsidR="000B11D7" w:rsidRDefault="0009205C" w:rsidP="004870E2">
      <w:pPr>
        <w:pStyle w:val="22"/>
        <w:numPr>
          <w:ilvl w:val="0"/>
          <w:numId w:val="2"/>
        </w:numPr>
        <w:shd w:val="clear" w:color="auto" w:fill="auto"/>
        <w:tabs>
          <w:tab w:val="left" w:pos="1088"/>
        </w:tabs>
        <w:spacing w:before="0" w:after="0" w:line="276" w:lineRule="auto"/>
        <w:ind w:firstLine="740"/>
      </w:pPr>
      <w:r>
        <w:t xml:space="preserve">Настоящая методика устанавливает правила и определяет показатели проведения мониторинга </w:t>
      </w:r>
      <w:proofErr w:type="spellStart"/>
      <w:r>
        <w:t>правоприменения</w:t>
      </w:r>
      <w:proofErr w:type="spellEnd"/>
      <w:r>
        <w:t xml:space="preserve"> органами государственной власти Донецкой Народной Республики.</w:t>
      </w:r>
    </w:p>
    <w:p w:rsidR="000B11D7" w:rsidRDefault="0009205C" w:rsidP="004870E2">
      <w:pPr>
        <w:pStyle w:val="22"/>
        <w:numPr>
          <w:ilvl w:val="0"/>
          <w:numId w:val="2"/>
        </w:numPr>
        <w:shd w:val="clear" w:color="auto" w:fill="auto"/>
        <w:tabs>
          <w:tab w:val="left" w:pos="1083"/>
        </w:tabs>
        <w:spacing w:before="0" w:after="0" w:line="276" w:lineRule="auto"/>
        <w:ind w:firstLine="740"/>
      </w:pPr>
      <w:r>
        <w:t>В соответствии с настоящей мето</w:t>
      </w:r>
      <w:r>
        <w:t xml:space="preserve">дикой проводятся текущий и оперативный виды мониторинга </w:t>
      </w:r>
      <w:proofErr w:type="spellStart"/>
      <w:r>
        <w:t>правоприменения</w:t>
      </w:r>
      <w:proofErr w:type="spellEnd"/>
      <w:r>
        <w:t>.</w:t>
      </w:r>
    </w:p>
    <w:p w:rsidR="000B11D7" w:rsidRDefault="0009205C" w:rsidP="004870E2">
      <w:pPr>
        <w:pStyle w:val="22"/>
        <w:shd w:val="clear" w:color="auto" w:fill="auto"/>
        <w:spacing w:before="0" w:after="0" w:line="276" w:lineRule="auto"/>
        <w:ind w:firstLine="740"/>
      </w:pPr>
      <w:r>
        <w:t>Текущий мониторинг осуществляется на постоянной основе в отношении отрасли (</w:t>
      </w:r>
      <w:proofErr w:type="spellStart"/>
      <w:r>
        <w:t>подотрасли</w:t>
      </w:r>
      <w:proofErr w:type="spellEnd"/>
      <w:r>
        <w:t>) законодательства и группы нормативных правовых актов Донецкой Народной Республики.</w:t>
      </w:r>
    </w:p>
    <w:p w:rsidR="000B11D7" w:rsidRDefault="0009205C" w:rsidP="004870E2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Оперативный </w:t>
      </w:r>
      <w:r>
        <w:t>мониторинг осуществляется в течение первого года действия нормативных правовых актов Донецкой Народной Республики.</w:t>
      </w:r>
    </w:p>
    <w:p w:rsidR="000B11D7" w:rsidRDefault="0009205C" w:rsidP="004870E2">
      <w:pPr>
        <w:pStyle w:val="22"/>
        <w:numPr>
          <w:ilvl w:val="0"/>
          <w:numId w:val="2"/>
        </w:numPr>
        <w:shd w:val="clear" w:color="auto" w:fill="auto"/>
        <w:tabs>
          <w:tab w:val="left" w:pos="1093"/>
        </w:tabs>
        <w:spacing w:before="0" w:after="0" w:line="276" w:lineRule="auto"/>
        <w:ind w:firstLine="740"/>
      </w:pPr>
      <w:r>
        <w:t xml:space="preserve">Мониторинг </w:t>
      </w:r>
      <w:proofErr w:type="spellStart"/>
      <w:r>
        <w:t>правоприменения</w:t>
      </w:r>
      <w:proofErr w:type="spellEnd"/>
      <w:r>
        <w:t xml:space="preserve"> включает в себя сбор информации о применении, обобщение, анализ и оценку практики применения:</w:t>
      </w:r>
    </w:p>
    <w:p w:rsidR="000B11D7" w:rsidRDefault="0009205C" w:rsidP="004870E2">
      <w:pPr>
        <w:pStyle w:val="22"/>
        <w:numPr>
          <w:ilvl w:val="0"/>
          <w:numId w:val="3"/>
        </w:numPr>
        <w:shd w:val="clear" w:color="auto" w:fill="auto"/>
        <w:tabs>
          <w:tab w:val="left" w:pos="1137"/>
        </w:tabs>
        <w:spacing w:before="0" w:after="0" w:line="276" w:lineRule="auto"/>
        <w:ind w:firstLine="740"/>
      </w:pPr>
      <w:r>
        <w:t>Конституции Донецкой</w:t>
      </w:r>
      <w:r>
        <w:t xml:space="preserve"> Народной Республики;</w:t>
      </w:r>
    </w:p>
    <w:p w:rsidR="000B11D7" w:rsidRDefault="0009205C" w:rsidP="004870E2">
      <w:pPr>
        <w:pStyle w:val="22"/>
        <w:numPr>
          <w:ilvl w:val="0"/>
          <w:numId w:val="3"/>
        </w:numPr>
        <w:shd w:val="clear" w:color="auto" w:fill="auto"/>
        <w:tabs>
          <w:tab w:val="left" w:pos="1166"/>
        </w:tabs>
        <w:spacing w:before="0" w:after="0" w:line="276" w:lineRule="auto"/>
        <w:ind w:firstLine="740"/>
      </w:pPr>
      <w:r>
        <w:t>законов Донецкой Народной Республики;</w:t>
      </w:r>
    </w:p>
    <w:p w:rsidR="000B11D7" w:rsidRDefault="0009205C" w:rsidP="004870E2">
      <w:pPr>
        <w:pStyle w:val="22"/>
        <w:numPr>
          <w:ilvl w:val="0"/>
          <w:numId w:val="3"/>
        </w:numPr>
        <w:shd w:val="clear" w:color="auto" w:fill="auto"/>
        <w:tabs>
          <w:tab w:val="left" w:pos="1166"/>
        </w:tabs>
        <w:spacing w:before="0" w:after="0" w:line="276" w:lineRule="auto"/>
        <w:ind w:firstLine="740"/>
      </w:pPr>
      <w:r>
        <w:t>актов Главы Донецкой Народной Республики;</w:t>
      </w:r>
    </w:p>
    <w:p w:rsidR="000B11D7" w:rsidRDefault="0009205C" w:rsidP="004870E2">
      <w:pPr>
        <w:pStyle w:val="22"/>
        <w:numPr>
          <w:ilvl w:val="0"/>
          <w:numId w:val="3"/>
        </w:numPr>
        <w:shd w:val="clear" w:color="auto" w:fill="auto"/>
        <w:tabs>
          <w:tab w:val="left" w:pos="1166"/>
        </w:tabs>
        <w:spacing w:before="0" w:after="0" w:line="276" w:lineRule="auto"/>
        <w:ind w:firstLine="740"/>
      </w:pPr>
      <w:r>
        <w:t>актов Правительства Донецкой Народной Республики;</w:t>
      </w:r>
    </w:p>
    <w:p w:rsidR="000B11D7" w:rsidRDefault="0009205C" w:rsidP="004870E2">
      <w:pPr>
        <w:pStyle w:val="22"/>
        <w:numPr>
          <w:ilvl w:val="0"/>
          <w:numId w:val="3"/>
        </w:numPr>
        <w:shd w:val="clear" w:color="auto" w:fill="auto"/>
        <w:tabs>
          <w:tab w:val="left" w:pos="1141"/>
        </w:tabs>
        <w:spacing w:before="0" w:after="0" w:line="276" w:lineRule="auto"/>
        <w:ind w:firstLine="740"/>
      </w:pPr>
      <w:r>
        <w:t>нормативных правовых актов органов государственной власти Донецкой Народной Республики;</w:t>
      </w:r>
    </w:p>
    <w:p w:rsidR="000B11D7" w:rsidRDefault="0009205C" w:rsidP="004870E2">
      <w:pPr>
        <w:pStyle w:val="22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нормативных прав</w:t>
      </w:r>
      <w:r>
        <w:t>овых актов Центральной избирательной комиссии Донецкой Народной Республики;</w:t>
      </w:r>
    </w:p>
    <w:p w:rsidR="000B11D7" w:rsidRDefault="0009205C" w:rsidP="004870E2">
      <w:pPr>
        <w:pStyle w:val="22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нормативных правовых актов Центрального Республиканского Банка Донецкой Народной Республики.</w:t>
      </w:r>
    </w:p>
    <w:p w:rsidR="000B11D7" w:rsidRDefault="0009205C" w:rsidP="004870E2">
      <w:pPr>
        <w:pStyle w:val="22"/>
        <w:numPr>
          <w:ilvl w:val="0"/>
          <w:numId w:val="2"/>
        </w:numPr>
        <w:shd w:val="clear" w:color="auto" w:fill="auto"/>
        <w:tabs>
          <w:tab w:val="left" w:pos="1122"/>
        </w:tabs>
        <w:spacing w:before="0" w:after="0" w:line="276" w:lineRule="auto"/>
        <w:ind w:firstLine="740"/>
      </w:pPr>
      <w:r>
        <w:t xml:space="preserve">При осуществлении мониторинга </w:t>
      </w:r>
      <w:proofErr w:type="spellStart"/>
      <w:r>
        <w:t>правоприменения</w:t>
      </w:r>
      <w:proofErr w:type="spellEnd"/>
      <w:r>
        <w:t xml:space="preserve"> используется:</w:t>
      </w:r>
    </w:p>
    <w:p w:rsidR="000B11D7" w:rsidRDefault="0009205C" w:rsidP="004870E2">
      <w:pPr>
        <w:pStyle w:val="22"/>
        <w:numPr>
          <w:ilvl w:val="0"/>
          <w:numId w:val="4"/>
        </w:numPr>
        <w:shd w:val="clear" w:color="auto" w:fill="auto"/>
        <w:tabs>
          <w:tab w:val="left" w:pos="1126"/>
        </w:tabs>
        <w:spacing w:before="0" w:after="0" w:line="276" w:lineRule="auto"/>
        <w:ind w:firstLine="740"/>
      </w:pPr>
      <w:r>
        <w:t xml:space="preserve">практика Верховного суда </w:t>
      </w:r>
      <w:r>
        <w:t>Донецкой Народной Республики, судов общей юрисдикции и арбитражного суда Донецкой Народной Республики;</w:t>
      </w:r>
    </w:p>
    <w:p w:rsidR="000B11D7" w:rsidRDefault="0009205C" w:rsidP="004870E2">
      <w:pPr>
        <w:pStyle w:val="22"/>
        <w:numPr>
          <w:ilvl w:val="0"/>
          <w:numId w:val="4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практика деятельности органов государственной власти Донецкой Народной Республики;</w:t>
      </w:r>
    </w:p>
    <w:p w:rsidR="000B11D7" w:rsidRDefault="0009205C" w:rsidP="004870E2">
      <w:pPr>
        <w:pStyle w:val="22"/>
        <w:numPr>
          <w:ilvl w:val="0"/>
          <w:numId w:val="4"/>
        </w:numPr>
        <w:shd w:val="clear" w:color="auto" w:fill="auto"/>
        <w:tabs>
          <w:tab w:val="left" w:pos="1141"/>
        </w:tabs>
        <w:spacing w:before="0" w:after="0" w:line="276" w:lineRule="auto"/>
        <w:ind w:firstLine="740"/>
      </w:pPr>
      <w:r>
        <w:t>информация о внесенных и планируемых изменениях законодательства;</w:t>
      </w:r>
    </w:p>
    <w:p w:rsidR="004870E2" w:rsidRDefault="0009205C" w:rsidP="004870E2">
      <w:pPr>
        <w:pStyle w:val="22"/>
        <w:numPr>
          <w:ilvl w:val="0"/>
          <w:numId w:val="4"/>
        </w:numPr>
        <w:shd w:val="clear" w:color="auto" w:fill="auto"/>
        <w:tabs>
          <w:tab w:val="left" w:pos="1131"/>
        </w:tabs>
        <w:spacing w:before="0" w:after="0" w:line="276" w:lineRule="auto"/>
        <w:ind w:firstLine="740"/>
      </w:pPr>
      <w:r>
        <w:lastRenderedPageBreak/>
        <w:t>информация о практике применения нормативных правовых актов Донецкой Народной Республики, поступившая от Уполномоченного по правам</w:t>
      </w:r>
    </w:p>
    <w:p w:rsidR="000B11D7" w:rsidRDefault="0009205C" w:rsidP="004870E2">
      <w:pPr>
        <w:pStyle w:val="22"/>
        <w:shd w:val="clear" w:color="auto" w:fill="auto"/>
        <w:tabs>
          <w:tab w:val="left" w:pos="1131"/>
        </w:tabs>
        <w:spacing w:before="0" w:after="0" w:line="276" w:lineRule="auto"/>
      </w:pPr>
      <w:r>
        <w:t>человека в Донецкой Народной Республике, а также из государственных фондов и иных организаций, созданн</w:t>
      </w:r>
      <w:r>
        <w:t>ых в соответствии с законодательством Донецкой Народной Республики;</w:t>
      </w:r>
    </w:p>
    <w:p w:rsidR="000B11D7" w:rsidRDefault="0009205C" w:rsidP="004870E2">
      <w:pPr>
        <w:pStyle w:val="22"/>
        <w:numPr>
          <w:ilvl w:val="0"/>
          <w:numId w:val="4"/>
        </w:numPr>
        <w:shd w:val="clear" w:color="auto" w:fill="auto"/>
        <w:tabs>
          <w:tab w:val="left" w:pos="1090"/>
        </w:tabs>
        <w:spacing w:before="0" w:after="0" w:line="276" w:lineRule="auto"/>
        <w:ind w:firstLine="740"/>
      </w:pPr>
      <w:r>
        <w:t>информация, поступившая из общественных, научных, правозащитных и иных организаций;</w:t>
      </w:r>
    </w:p>
    <w:p w:rsidR="000B11D7" w:rsidRDefault="0009205C" w:rsidP="004870E2">
      <w:pPr>
        <w:pStyle w:val="22"/>
        <w:numPr>
          <w:ilvl w:val="0"/>
          <w:numId w:val="4"/>
        </w:numPr>
        <w:shd w:val="clear" w:color="auto" w:fill="auto"/>
        <w:tabs>
          <w:tab w:val="left" w:pos="1119"/>
        </w:tabs>
        <w:spacing w:before="0" w:after="0" w:line="276" w:lineRule="auto"/>
        <w:ind w:firstLine="740"/>
      </w:pPr>
      <w:r>
        <w:t>информация, полученная из средств массовой информации;</w:t>
      </w:r>
    </w:p>
    <w:p w:rsidR="000B11D7" w:rsidRDefault="0009205C" w:rsidP="004870E2">
      <w:pPr>
        <w:pStyle w:val="22"/>
        <w:numPr>
          <w:ilvl w:val="0"/>
          <w:numId w:val="4"/>
        </w:numPr>
        <w:shd w:val="clear" w:color="auto" w:fill="auto"/>
        <w:tabs>
          <w:tab w:val="left" w:pos="1119"/>
        </w:tabs>
        <w:spacing w:before="0" w:after="0" w:line="276" w:lineRule="auto"/>
        <w:ind w:firstLine="740"/>
      </w:pPr>
      <w:r>
        <w:t>информация, поступившая от граждан.</w:t>
      </w:r>
    </w:p>
    <w:p w:rsidR="000B11D7" w:rsidRDefault="0009205C" w:rsidP="004870E2">
      <w:pPr>
        <w:pStyle w:val="22"/>
        <w:numPr>
          <w:ilvl w:val="0"/>
          <w:numId w:val="2"/>
        </w:numPr>
        <w:shd w:val="clear" w:color="auto" w:fill="auto"/>
        <w:tabs>
          <w:tab w:val="left" w:pos="1047"/>
        </w:tabs>
        <w:spacing w:before="0" w:after="0" w:line="276" w:lineRule="auto"/>
        <w:ind w:firstLine="740"/>
      </w:pPr>
      <w:r>
        <w:t xml:space="preserve">При </w:t>
      </w:r>
      <w:r>
        <w:t xml:space="preserve">осуществлении мониторинга </w:t>
      </w:r>
      <w:proofErr w:type="spellStart"/>
      <w:r>
        <w:t>правоприменения</w:t>
      </w:r>
      <w:proofErr w:type="spellEnd"/>
      <w:r>
        <w:t>, помимо видов информации, указанных в подпунктах 1-7 пункта 4 настоящей методики, могут быть использованы, в том числе, следующие виды информации:</w:t>
      </w:r>
    </w:p>
    <w:p w:rsidR="000B11D7" w:rsidRDefault="0009205C" w:rsidP="004870E2">
      <w:pPr>
        <w:pStyle w:val="22"/>
        <w:numPr>
          <w:ilvl w:val="0"/>
          <w:numId w:val="5"/>
        </w:numPr>
        <w:shd w:val="clear" w:color="auto" w:fill="auto"/>
        <w:tabs>
          <w:tab w:val="left" w:pos="1090"/>
        </w:tabs>
        <w:spacing w:before="0" w:after="0" w:line="276" w:lineRule="auto"/>
        <w:ind w:firstLine="740"/>
      </w:pPr>
      <w:r>
        <w:t>статистическая информация, получаемая на основе статистических пока</w:t>
      </w:r>
      <w:r>
        <w:t>зателей органов государственной власти и иных государственных органов Донецкой Народной Республики;</w:t>
      </w:r>
    </w:p>
    <w:p w:rsidR="000B11D7" w:rsidRDefault="0009205C" w:rsidP="004870E2">
      <w:pPr>
        <w:pStyle w:val="22"/>
        <w:numPr>
          <w:ilvl w:val="0"/>
          <w:numId w:val="5"/>
        </w:numPr>
        <w:shd w:val="clear" w:color="auto" w:fill="auto"/>
        <w:tabs>
          <w:tab w:val="left" w:pos="1085"/>
        </w:tabs>
        <w:spacing w:before="0" w:after="0" w:line="276" w:lineRule="auto"/>
        <w:ind w:firstLine="740"/>
      </w:pPr>
      <w:r>
        <w:t>социологическая информация, формируемая на основе социологических исследований.</w:t>
      </w:r>
    </w:p>
    <w:p w:rsidR="000B11D7" w:rsidRDefault="0009205C" w:rsidP="004870E2">
      <w:pPr>
        <w:pStyle w:val="22"/>
        <w:numPr>
          <w:ilvl w:val="0"/>
          <w:numId w:val="2"/>
        </w:numPr>
        <w:shd w:val="clear" w:color="auto" w:fill="auto"/>
        <w:tabs>
          <w:tab w:val="left" w:pos="1051"/>
        </w:tabs>
        <w:spacing w:before="0" w:after="0" w:line="276" w:lineRule="auto"/>
        <w:ind w:firstLine="740"/>
      </w:pPr>
      <w:r>
        <w:t xml:space="preserve">При осуществлении мониторинга </w:t>
      </w:r>
      <w:proofErr w:type="spellStart"/>
      <w:r>
        <w:t>правоприменения</w:t>
      </w:r>
      <w:proofErr w:type="spellEnd"/>
      <w:r>
        <w:t xml:space="preserve"> учитывается также практика при</w:t>
      </w:r>
      <w:r>
        <w:t>менения нормативных правовых актов иных государств, применение которых предусмотрено Конституцией Донецкой Народной Республики.</w:t>
      </w:r>
    </w:p>
    <w:p w:rsidR="000B11D7" w:rsidRDefault="0009205C" w:rsidP="004870E2">
      <w:pPr>
        <w:pStyle w:val="22"/>
        <w:numPr>
          <w:ilvl w:val="0"/>
          <w:numId w:val="2"/>
        </w:numPr>
        <w:shd w:val="clear" w:color="auto" w:fill="auto"/>
        <w:tabs>
          <w:tab w:val="left" w:pos="1047"/>
        </w:tabs>
        <w:spacing w:before="0" w:after="0" w:line="276" w:lineRule="auto"/>
        <w:ind w:firstLine="740"/>
      </w:pPr>
      <w:r>
        <w:t xml:space="preserve">При осуществлении мониторинга </w:t>
      </w:r>
      <w:proofErr w:type="spellStart"/>
      <w:r>
        <w:t>правоприменения</w:t>
      </w:r>
      <w:proofErr w:type="spellEnd"/>
      <w:r>
        <w:t xml:space="preserve"> для обеспечения принятия (издания), изменения или признания </w:t>
      </w:r>
      <w:proofErr w:type="gramStart"/>
      <w:r>
        <w:t>утратившими</w:t>
      </w:r>
      <w:proofErr w:type="gramEnd"/>
      <w:r>
        <w:t xml:space="preserve"> силу (отме</w:t>
      </w:r>
      <w:r>
        <w:t>ны) нормативных правовых актов Донецкой Народной Республики обобщается, анализируется и оценивается информация о практике их применения по следующим показателям: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090"/>
        </w:tabs>
        <w:spacing w:before="0" w:after="0" w:line="276" w:lineRule="auto"/>
        <w:ind w:firstLine="740"/>
      </w:pPr>
      <w:r>
        <w:t>несоблюдение гарантированных прав, свобод и законных интересов человека и гражданина;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095"/>
        </w:tabs>
        <w:spacing w:before="0" w:after="0" w:line="276" w:lineRule="auto"/>
        <w:ind w:firstLine="740"/>
      </w:pPr>
      <w:r>
        <w:t>несоотве</w:t>
      </w:r>
      <w:r>
        <w:t>тствие нормативного правого акта Донецкой Народной Республики общепризнанным положениям международного права и международным обязательствам Донецкой Народной Республики;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099"/>
        </w:tabs>
        <w:spacing w:before="0" w:after="0" w:line="276" w:lineRule="auto"/>
        <w:ind w:firstLine="740"/>
      </w:pPr>
      <w:r>
        <w:t xml:space="preserve">искажение смысла положений закона и (или) актов Главы Донецкой Народной Республики, </w:t>
      </w:r>
      <w:r>
        <w:t>Правительства Донецкой Народной Республики при принятии нормативного правового акта;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090"/>
        </w:tabs>
        <w:spacing w:before="0" w:after="0" w:line="276" w:lineRule="auto"/>
        <w:ind w:firstLine="740"/>
      </w:pPr>
      <w:r>
        <w:t xml:space="preserve">несоблюдение </w:t>
      </w:r>
      <w:proofErr w:type="gramStart"/>
      <w:r>
        <w:t>пределов компетенции органа государственной власти Донецкой Народной Республики</w:t>
      </w:r>
      <w:proofErr w:type="gramEnd"/>
      <w:r>
        <w:t xml:space="preserve"> при издании нормативного правового акта;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099"/>
        </w:tabs>
        <w:spacing w:before="0" w:after="0" w:line="276" w:lineRule="auto"/>
        <w:ind w:firstLine="740"/>
      </w:pPr>
      <w:r>
        <w:t>наличие недостатков правового регулир</w:t>
      </w:r>
      <w:r>
        <w:t>ования (юридические коллизии, дублирование правового регулирования общественных отношений, пробелы в законодательстве, наличие недействующих норм);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095"/>
        </w:tabs>
        <w:spacing w:before="0" w:after="0" w:line="276" w:lineRule="auto"/>
        <w:ind w:firstLine="740"/>
      </w:pPr>
      <w:r>
        <w:lastRenderedPageBreak/>
        <w:t>изменения, вносимые в нормативный правовой акт, обоснование необходимости в этом;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124"/>
        </w:tabs>
        <w:spacing w:before="0" w:after="0" w:line="276" w:lineRule="auto"/>
        <w:ind w:firstLine="740"/>
      </w:pPr>
      <w:r>
        <w:t>наличие в нормативном прав</w:t>
      </w:r>
      <w:r>
        <w:t xml:space="preserve">овом акте </w:t>
      </w:r>
      <w:proofErr w:type="spellStart"/>
      <w:r>
        <w:t>коррупциогенных</w:t>
      </w:r>
      <w:proofErr w:type="spellEnd"/>
      <w:r>
        <w:t xml:space="preserve"> факторов;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124"/>
        </w:tabs>
        <w:spacing w:before="0" w:after="0" w:line="276" w:lineRule="auto"/>
        <w:ind w:firstLine="740"/>
      </w:pPr>
      <w:r>
        <w:t>наличие ошибок юридико-технического характера;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094"/>
        </w:tabs>
        <w:spacing w:before="0" w:after="0" w:line="276" w:lineRule="auto"/>
        <w:ind w:firstLine="760"/>
      </w:pPr>
      <w:r>
        <w:t>использование положений нормативных правовых актов в качестве оснований совершения юридически значимых действий;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>
        <w:t>искажение смысла положений нормативного правового акта при е</w:t>
      </w:r>
      <w:r>
        <w:t>го применении;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>
        <w:t>неправомерные или необоснованные решения, действия (бездействие) при применении нормативного правового акта;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>
        <w:t>использование норм, позволяющих расширительно толковать компетенцию органа государственной власти;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>
        <w:t>наличие (отсутствие) единообразно</w:t>
      </w:r>
      <w:r>
        <w:t>й практики применения нормативного правового акта;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>
        <w:t>количество и содержание заявлений по вопросам разъяснения нормативного правового акта;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215"/>
        </w:tabs>
        <w:spacing w:before="0" w:after="0" w:line="276" w:lineRule="auto"/>
        <w:ind w:firstLine="760"/>
      </w:pPr>
      <w:r>
        <w:t>количество вступивших в законную силу судебных актов об удовлетворении (отказе в удовлетворении) требований заявителей</w:t>
      </w:r>
      <w:r>
        <w:t xml:space="preserve"> в связи с отношениями, урегулированными нормативным правовым актом, и основания их принятия;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215"/>
        </w:tabs>
        <w:spacing w:before="0" w:after="0" w:line="276" w:lineRule="auto"/>
        <w:ind w:firstLine="760"/>
      </w:pPr>
      <w:r>
        <w:t>количество и содержание удовлетворенных обращений (предложений, заявлений, жалоб), связанных с применением нормативного правового акта, в том числе с имеющимися к</w:t>
      </w:r>
      <w:r>
        <w:t>оллизиями и пробелами в правовом регулировании, искажением смысла положений нормативного правового акта и нарушениями единообразия его применения;</w:t>
      </w:r>
    </w:p>
    <w:p w:rsidR="000B11D7" w:rsidRDefault="0009205C" w:rsidP="004870E2">
      <w:pPr>
        <w:pStyle w:val="22"/>
        <w:numPr>
          <w:ilvl w:val="0"/>
          <w:numId w:val="6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>
        <w:t>количество и характер зафиксированных правонарушений в сфере действия нормативного правового акта, а также ко</w:t>
      </w:r>
      <w:r>
        <w:t>личество случаев привлечения виновных лиц к ответственности.</w:t>
      </w:r>
    </w:p>
    <w:p w:rsidR="000B11D7" w:rsidRDefault="0009205C" w:rsidP="004870E2">
      <w:pPr>
        <w:pStyle w:val="22"/>
        <w:numPr>
          <w:ilvl w:val="0"/>
          <w:numId w:val="2"/>
        </w:numPr>
        <w:shd w:val="clear" w:color="auto" w:fill="auto"/>
        <w:tabs>
          <w:tab w:val="left" w:pos="1094"/>
        </w:tabs>
        <w:spacing w:before="0" w:after="0" w:line="276" w:lineRule="auto"/>
        <w:ind w:firstLine="760"/>
      </w:pPr>
      <w:r>
        <w:t xml:space="preserve">В целях предотвращения коррупции и устранения </w:t>
      </w:r>
      <w:proofErr w:type="spellStart"/>
      <w:r>
        <w:t>коррупциогенных</w:t>
      </w:r>
      <w:proofErr w:type="spellEnd"/>
      <w:r>
        <w:t xml:space="preserve"> факторов при осуществлении мониторинга </w:t>
      </w:r>
      <w:proofErr w:type="spellStart"/>
      <w:r>
        <w:t>правоприменения</w:t>
      </w:r>
      <w:proofErr w:type="spellEnd"/>
      <w:r>
        <w:t xml:space="preserve"> для обеспечения принятия (издания), изменения или признания </w:t>
      </w:r>
      <w:proofErr w:type="gramStart"/>
      <w:r>
        <w:t>утратившими</w:t>
      </w:r>
      <w:proofErr w:type="gramEnd"/>
      <w:r>
        <w:t xml:space="preserve"> силу (</w:t>
      </w:r>
      <w:r>
        <w:t>отмены) нормативных правовых актов Донецкой Народной Республики обобщается, анализируется и оценивается информация о практике их применения по следующим дополнительным показателям:</w:t>
      </w:r>
    </w:p>
    <w:p w:rsidR="000B11D7" w:rsidRDefault="0009205C" w:rsidP="004870E2">
      <w:pPr>
        <w:pStyle w:val="22"/>
        <w:numPr>
          <w:ilvl w:val="0"/>
          <w:numId w:val="7"/>
        </w:numPr>
        <w:shd w:val="clear" w:color="auto" w:fill="auto"/>
        <w:tabs>
          <w:tab w:val="left" w:pos="1094"/>
        </w:tabs>
        <w:spacing w:before="0" w:after="0" w:line="276" w:lineRule="auto"/>
        <w:ind w:firstLine="760"/>
      </w:pPr>
      <w:r>
        <w:t xml:space="preserve">наиболее часто встречающиеся </w:t>
      </w:r>
      <w:proofErr w:type="spellStart"/>
      <w:r>
        <w:t>коррупциогенные</w:t>
      </w:r>
      <w:proofErr w:type="spellEnd"/>
      <w:r>
        <w:t xml:space="preserve"> факторы в нормативных правовых</w:t>
      </w:r>
      <w:r>
        <w:t xml:space="preserve"> актах;</w:t>
      </w:r>
    </w:p>
    <w:p w:rsidR="000B11D7" w:rsidRDefault="0009205C" w:rsidP="004870E2">
      <w:pPr>
        <w:pStyle w:val="22"/>
        <w:numPr>
          <w:ilvl w:val="0"/>
          <w:numId w:val="7"/>
        </w:numPr>
        <w:shd w:val="clear" w:color="auto" w:fill="auto"/>
        <w:tabs>
          <w:tab w:val="left" w:pos="1094"/>
        </w:tabs>
        <w:spacing w:before="0" w:after="0" w:line="276" w:lineRule="auto"/>
        <w:ind w:firstLine="760"/>
      </w:pPr>
      <w:r>
        <w:t xml:space="preserve">количество </w:t>
      </w:r>
      <w:proofErr w:type="spellStart"/>
      <w:r>
        <w:t>коррупциогенных</w:t>
      </w:r>
      <w:proofErr w:type="spellEnd"/>
      <w:r>
        <w:t xml:space="preserve"> факторов, выявленных в нормативном правовом акте при проведении антикоррупционной экспертизы;</w:t>
      </w:r>
    </w:p>
    <w:p w:rsidR="000B11D7" w:rsidRDefault="0009205C" w:rsidP="004870E2">
      <w:pPr>
        <w:pStyle w:val="22"/>
        <w:numPr>
          <w:ilvl w:val="0"/>
          <w:numId w:val="7"/>
        </w:numPr>
        <w:shd w:val="clear" w:color="auto" w:fill="auto"/>
        <w:tabs>
          <w:tab w:val="left" w:pos="1094"/>
        </w:tabs>
        <w:spacing w:before="0" w:after="0" w:line="276" w:lineRule="auto"/>
        <w:ind w:firstLine="760"/>
      </w:pPr>
      <w:r>
        <w:t xml:space="preserve">сроки приведения нормативных правовых актов в соответствие с </w:t>
      </w:r>
      <w:r>
        <w:lastRenderedPageBreak/>
        <w:t>антикоррупционным законодательством Донецкой Народной Республики;</w:t>
      </w:r>
    </w:p>
    <w:p w:rsidR="000B11D7" w:rsidRDefault="0009205C" w:rsidP="004870E2">
      <w:pPr>
        <w:pStyle w:val="22"/>
        <w:numPr>
          <w:ilvl w:val="0"/>
          <w:numId w:val="7"/>
        </w:numPr>
        <w:shd w:val="clear" w:color="auto" w:fill="auto"/>
        <w:tabs>
          <w:tab w:val="left" w:pos="1094"/>
        </w:tabs>
        <w:spacing w:before="0" w:after="0" w:line="276" w:lineRule="auto"/>
        <w:ind w:firstLine="760"/>
      </w:pPr>
      <w:r>
        <w:t xml:space="preserve">количество и содержание обращений (предложений, заявлений, жалоб) о несоответствии нормативного правового акта антикоррупционному законодательству Донецкой Народной Республики, в том числе о наличии в нормативном правовом акте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0B11D7" w:rsidRDefault="0009205C" w:rsidP="004870E2">
      <w:pPr>
        <w:pStyle w:val="22"/>
        <w:numPr>
          <w:ilvl w:val="0"/>
          <w:numId w:val="2"/>
        </w:numPr>
        <w:shd w:val="clear" w:color="auto" w:fill="auto"/>
        <w:tabs>
          <w:tab w:val="left" w:pos="1094"/>
        </w:tabs>
        <w:spacing w:before="0" w:after="0" w:line="276" w:lineRule="auto"/>
        <w:ind w:firstLine="760"/>
      </w:pPr>
      <w:r>
        <w:t>Оценка эффективности реализации нормативного правового акта определяется по следующим критериям:</w:t>
      </w:r>
    </w:p>
    <w:p w:rsidR="000B11D7" w:rsidRDefault="0009205C" w:rsidP="004870E2">
      <w:pPr>
        <w:pStyle w:val="22"/>
        <w:numPr>
          <w:ilvl w:val="0"/>
          <w:numId w:val="8"/>
        </w:numPr>
        <w:shd w:val="clear" w:color="auto" w:fill="auto"/>
        <w:tabs>
          <w:tab w:val="left" w:pos="1086"/>
        </w:tabs>
        <w:spacing w:before="0" w:after="0" w:line="276" w:lineRule="auto"/>
        <w:ind w:firstLine="760"/>
      </w:pPr>
      <w:r>
        <w:t>соответствие нормативного правового акта действующему законодательству;</w:t>
      </w:r>
    </w:p>
    <w:p w:rsidR="000B11D7" w:rsidRDefault="0009205C" w:rsidP="004870E2">
      <w:pPr>
        <w:pStyle w:val="22"/>
        <w:numPr>
          <w:ilvl w:val="0"/>
          <w:numId w:val="8"/>
        </w:numPr>
        <w:shd w:val="clear" w:color="auto" w:fill="auto"/>
        <w:tabs>
          <w:tab w:val="left" w:pos="1136"/>
        </w:tabs>
        <w:spacing w:before="0" w:after="0" w:line="276" w:lineRule="auto"/>
        <w:ind w:firstLine="760"/>
      </w:pPr>
      <w:r>
        <w:t>актуальность нормативного правового акта;</w:t>
      </w:r>
    </w:p>
    <w:p w:rsidR="000B11D7" w:rsidRDefault="0009205C" w:rsidP="004870E2">
      <w:pPr>
        <w:pStyle w:val="22"/>
        <w:numPr>
          <w:ilvl w:val="0"/>
          <w:numId w:val="8"/>
        </w:numPr>
        <w:shd w:val="clear" w:color="auto" w:fill="auto"/>
        <w:tabs>
          <w:tab w:val="left" w:pos="1091"/>
        </w:tabs>
        <w:spacing w:before="0" w:after="0" w:line="276" w:lineRule="auto"/>
        <w:ind w:firstLine="760"/>
      </w:pPr>
      <w:r>
        <w:t>результативность принятия нормативного правов</w:t>
      </w:r>
      <w:r>
        <w:t>ого акта (</w:t>
      </w:r>
      <w:proofErr w:type="spellStart"/>
      <w:r>
        <w:t>социальноэкономический</w:t>
      </w:r>
      <w:proofErr w:type="spellEnd"/>
      <w:r>
        <w:t xml:space="preserve"> эффект, изменения в регулируемых общественных отношениях, достижение нормативно установленных целей);</w:t>
      </w:r>
    </w:p>
    <w:p w:rsidR="000B11D7" w:rsidRDefault="0009205C" w:rsidP="004870E2">
      <w:pPr>
        <w:pStyle w:val="22"/>
        <w:numPr>
          <w:ilvl w:val="0"/>
          <w:numId w:val="8"/>
        </w:numPr>
        <w:shd w:val="clear" w:color="auto" w:fill="auto"/>
        <w:tabs>
          <w:tab w:val="left" w:pos="1081"/>
        </w:tabs>
        <w:spacing w:before="0" w:after="0" w:line="276" w:lineRule="auto"/>
        <w:ind w:firstLine="760"/>
      </w:pPr>
      <w:r>
        <w:t>предложения по повышению эффективности реализации нормативного правового акта.</w:t>
      </w:r>
    </w:p>
    <w:p w:rsidR="000B11D7" w:rsidRDefault="0009205C" w:rsidP="004870E2">
      <w:pPr>
        <w:pStyle w:val="22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760"/>
      </w:pPr>
      <w:r>
        <w:t>В целях устранения противоречий между норм</w:t>
      </w:r>
      <w:r>
        <w:t xml:space="preserve">ативными правовыми актами равной юридической силы при осуществлении мониторинга </w:t>
      </w:r>
      <w:proofErr w:type="spellStart"/>
      <w:r>
        <w:t>правоприменения</w:t>
      </w:r>
      <w:proofErr w:type="spellEnd"/>
      <w:r>
        <w:t xml:space="preserve"> для обеспечения принятия (издания), изменения или признания утратившими силу (отмены) нормативных правовых актов Донецкой Народной Республики обобщается, анализ</w:t>
      </w:r>
      <w:r>
        <w:t>ируется и оценивается информация о практике их применения по следующим показателям:</w:t>
      </w:r>
    </w:p>
    <w:p w:rsidR="000B11D7" w:rsidRDefault="0009205C" w:rsidP="004870E2">
      <w:pPr>
        <w:pStyle w:val="22"/>
        <w:numPr>
          <w:ilvl w:val="0"/>
          <w:numId w:val="9"/>
        </w:numPr>
        <w:shd w:val="clear" w:color="auto" w:fill="auto"/>
        <w:tabs>
          <w:tab w:val="left" w:pos="1081"/>
        </w:tabs>
        <w:spacing w:before="0" w:after="0" w:line="276" w:lineRule="auto"/>
        <w:ind w:firstLine="760"/>
      </w:pPr>
      <w:r>
        <w:t>наличие противоречий между нормативными правовыми актами общего характера и нормативными правовыми актами специального характера, регулирующими однородные отношения;</w:t>
      </w:r>
    </w:p>
    <w:p w:rsidR="000B11D7" w:rsidRDefault="0009205C" w:rsidP="004870E2">
      <w:pPr>
        <w:pStyle w:val="22"/>
        <w:numPr>
          <w:ilvl w:val="0"/>
          <w:numId w:val="9"/>
        </w:numPr>
        <w:shd w:val="clear" w:color="auto" w:fill="auto"/>
        <w:tabs>
          <w:tab w:val="left" w:pos="3798"/>
          <w:tab w:val="left" w:pos="7970"/>
        </w:tabs>
        <w:spacing w:before="0" w:after="0" w:line="276" w:lineRule="auto"/>
        <w:ind w:firstLine="760"/>
      </w:pPr>
      <w:r>
        <w:t xml:space="preserve"> наличие единой</w:t>
      </w:r>
      <w:r>
        <w:tab/>
        <w:t>понятийно-терминологической</w:t>
      </w:r>
      <w:r>
        <w:tab/>
        <w:t xml:space="preserve">системы </w:t>
      </w:r>
      <w:proofErr w:type="gramStart"/>
      <w:r>
        <w:t>в</w:t>
      </w:r>
      <w:proofErr w:type="gramEnd"/>
    </w:p>
    <w:p w:rsidR="000B11D7" w:rsidRDefault="0009205C" w:rsidP="004870E2">
      <w:pPr>
        <w:pStyle w:val="22"/>
        <w:shd w:val="clear" w:color="auto" w:fill="auto"/>
        <w:spacing w:before="0" w:after="0" w:line="276" w:lineRule="auto"/>
        <w:jc w:val="left"/>
      </w:pPr>
      <w:r>
        <w:t xml:space="preserve">нормативных правовых </w:t>
      </w:r>
      <w:proofErr w:type="gramStart"/>
      <w:r>
        <w:t>актах</w:t>
      </w:r>
      <w:proofErr w:type="gramEnd"/>
      <w:r>
        <w:t>;</w:t>
      </w:r>
    </w:p>
    <w:p w:rsidR="000B11D7" w:rsidRDefault="0009205C" w:rsidP="004870E2">
      <w:pPr>
        <w:pStyle w:val="22"/>
        <w:numPr>
          <w:ilvl w:val="0"/>
          <w:numId w:val="9"/>
        </w:numPr>
        <w:shd w:val="clear" w:color="auto" w:fill="auto"/>
        <w:tabs>
          <w:tab w:val="left" w:pos="1136"/>
        </w:tabs>
        <w:spacing w:before="0" w:after="0" w:line="276" w:lineRule="auto"/>
        <w:ind w:firstLine="760"/>
      </w:pPr>
      <w:r>
        <w:t>наличие дублирующих норм права в нормативных правовых актах;</w:t>
      </w:r>
    </w:p>
    <w:p w:rsidR="000B11D7" w:rsidRDefault="0009205C" w:rsidP="004870E2">
      <w:pPr>
        <w:pStyle w:val="22"/>
        <w:numPr>
          <w:ilvl w:val="0"/>
          <w:numId w:val="9"/>
        </w:numPr>
        <w:shd w:val="clear" w:color="auto" w:fill="auto"/>
        <w:tabs>
          <w:tab w:val="left" w:pos="1076"/>
        </w:tabs>
        <w:spacing w:before="0" w:after="0" w:line="276" w:lineRule="auto"/>
        <w:ind w:firstLine="760"/>
      </w:pPr>
      <w:r>
        <w:t>наличие противоречий в нормативных правовых актах, регулирующих однородные отношения, принятых в разные периоды;</w:t>
      </w:r>
    </w:p>
    <w:p w:rsidR="000B11D7" w:rsidRDefault="0009205C" w:rsidP="004870E2">
      <w:pPr>
        <w:pStyle w:val="22"/>
        <w:numPr>
          <w:ilvl w:val="0"/>
          <w:numId w:val="9"/>
        </w:numPr>
        <w:shd w:val="clear" w:color="auto" w:fill="auto"/>
        <w:tabs>
          <w:tab w:val="left" w:pos="1091"/>
        </w:tabs>
        <w:spacing w:before="0" w:after="0" w:line="276" w:lineRule="auto"/>
        <w:ind w:firstLine="760"/>
      </w:pPr>
      <w:r>
        <w:t xml:space="preserve">наличие ошибок </w:t>
      </w:r>
      <w:proofErr w:type="spellStart"/>
      <w:r>
        <w:t>юри</w:t>
      </w:r>
      <w:proofErr w:type="spellEnd"/>
      <w:r>
        <w:t xml:space="preserve"> дико-технического характера в нормативных правовых актах;</w:t>
      </w:r>
    </w:p>
    <w:p w:rsidR="000B11D7" w:rsidRDefault="0009205C" w:rsidP="004870E2">
      <w:pPr>
        <w:pStyle w:val="22"/>
        <w:numPr>
          <w:ilvl w:val="0"/>
          <w:numId w:val="9"/>
        </w:numPr>
        <w:shd w:val="clear" w:color="auto" w:fill="auto"/>
        <w:tabs>
          <w:tab w:val="left" w:pos="1086"/>
        </w:tabs>
        <w:spacing w:before="0" w:after="0" w:line="276" w:lineRule="auto"/>
        <w:ind w:firstLine="760"/>
      </w:pPr>
      <w:r>
        <w:t xml:space="preserve">количество и содержание обращений (предложений, заявлений, жалоб), в том числе по вопросам понятийно-терминологической системы в нормативных правовых актах, наличия в них </w:t>
      </w:r>
      <w:r>
        <w:t>дублирующих норм и противоречий, а также ошибок юридико-технического характера.</w:t>
      </w:r>
    </w:p>
    <w:p w:rsidR="000B11D7" w:rsidRDefault="0009205C" w:rsidP="004870E2">
      <w:pPr>
        <w:pStyle w:val="22"/>
        <w:numPr>
          <w:ilvl w:val="0"/>
          <w:numId w:val="2"/>
        </w:numPr>
        <w:shd w:val="clear" w:color="auto" w:fill="auto"/>
        <w:tabs>
          <w:tab w:val="left" w:pos="1177"/>
        </w:tabs>
        <w:spacing w:before="0" w:after="0" w:line="276" w:lineRule="auto"/>
        <w:ind w:firstLine="760"/>
      </w:pPr>
      <w:r>
        <w:t xml:space="preserve">При необходимости мониторинг </w:t>
      </w:r>
      <w:proofErr w:type="spellStart"/>
      <w:r>
        <w:t>правоприменения</w:t>
      </w:r>
      <w:proofErr w:type="spellEnd"/>
      <w:r>
        <w:t xml:space="preserve"> может быть осуществлен по дополнительным показателям, определяемым органом государственной власти самостоятельно.</w:t>
      </w:r>
    </w:p>
    <w:sectPr w:rsidR="000B11D7" w:rsidSect="004870E2">
      <w:headerReference w:type="default" r:id="rId11"/>
      <w:pgSz w:w="11900" w:h="16840"/>
      <w:pgMar w:top="1134" w:right="560" w:bottom="1134" w:left="1701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05C" w:rsidRDefault="0009205C">
      <w:r>
        <w:separator/>
      </w:r>
    </w:p>
  </w:endnote>
  <w:endnote w:type="continuationSeparator" w:id="0">
    <w:p w:rsidR="0009205C" w:rsidRDefault="0009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05C" w:rsidRDefault="0009205C"/>
  </w:footnote>
  <w:footnote w:type="continuationSeparator" w:id="0">
    <w:p w:rsidR="0009205C" w:rsidRDefault="000920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1D7" w:rsidRDefault="0009205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05pt;margin-top:38.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B11D7" w:rsidRDefault="0009205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870E2" w:rsidRPr="004870E2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23C84"/>
    <w:multiLevelType w:val="multilevel"/>
    <w:tmpl w:val="9F9227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C3E1D"/>
    <w:multiLevelType w:val="multilevel"/>
    <w:tmpl w:val="485694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B22AB2"/>
    <w:multiLevelType w:val="multilevel"/>
    <w:tmpl w:val="559237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9025F1"/>
    <w:multiLevelType w:val="multilevel"/>
    <w:tmpl w:val="984299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472A4D"/>
    <w:multiLevelType w:val="multilevel"/>
    <w:tmpl w:val="F35CBF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EE0512"/>
    <w:multiLevelType w:val="multilevel"/>
    <w:tmpl w:val="5A4A36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EB5F6D"/>
    <w:multiLevelType w:val="multilevel"/>
    <w:tmpl w:val="2CCAC2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81B1F0D"/>
    <w:multiLevelType w:val="multilevel"/>
    <w:tmpl w:val="BE208D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B90C4B"/>
    <w:multiLevelType w:val="multilevel"/>
    <w:tmpl w:val="9502D1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B11D7"/>
    <w:rsid w:val="0009205C"/>
    <w:rsid w:val="000B11D7"/>
    <w:rsid w:val="004870E2"/>
    <w:rsid w:val="0056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870E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70E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72-ihc-o-normativnyh-pravovyh-aktah-dejstvuyushhaya-redaktsiya-po-sostoyaniyu-na-16-02-2019-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72-ihc-o-normativnyh-pravovyh-aktah-dejstvuyushhaya-redaktsiya-po-sostoyaniyu-na-16-02-2019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2019-08-01T11:59:00Z</cp:lastPrinted>
  <dcterms:created xsi:type="dcterms:W3CDTF">2019-08-01T11:54:00Z</dcterms:created>
  <dcterms:modified xsi:type="dcterms:W3CDTF">2019-08-01T12:15:00Z</dcterms:modified>
</cp:coreProperties>
</file>