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0.65pt;height:69.1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650" w:lineRule="exact"/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1291" w:left="1510" w:right="689" w:bottom="428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40" w:lineRule="exact"/>
        <w:rPr>
          <w:sz w:val="11"/>
          <w:szCs w:val="11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2827" w:left="0" w:right="0" w:bottom="2827" w:header="0" w:footer="3" w:gutter="0"/>
          <w:rtlGutter w:val="0"/>
          <w:cols w:space="720"/>
          <w:noEndnote/>
          <w:docGrid w:linePitch="360"/>
        </w:sectPr>
      </w:pPr>
    </w:p>
    <w:p>
      <w:pPr>
        <w:pStyle w:val="Style6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bookmarkStart w:id="0" w:name="bookmark0"/>
      <w:r>
        <w:rPr>
          <w:rStyle w:val="CharStyle8"/>
          <w:b/>
          <w:bCs/>
        </w:rPr>
        <w:t>ДОНЕЦКАЯ НАРОДНАЯ РЕСПУБЛИКА</w:t>
      </w:r>
      <w:bookmarkEnd w:id="0"/>
    </w:p>
    <w:p>
      <w:pPr>
        <w:pStyle w:val="Style6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bookmarkStart w:id="1" w:name="bookmark1"/>
      <w:r>
        <w:rPr>
          <w:rStyle w:val="CharStyle8"/>
          <w:b/>
          <w:bCs/>
        </w:rPr>
        <w:t>СОВЕТ МИНИСТРОВ</w:t>
      </w:r>
      <w:bookmarkEnd w:id="1"/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r>
        <w:rPr>
          <w:rStyle w:val="CharStyle11"/>
          <w:b/>
          <w:bCs/>
        </w:rPr>
        <w:t>ПОСТАНОВЛЕНИЕ</w:t>
      </w:r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0"/>
        <w:ind w:left="20" w:right="0" w:firstLine="0"/>
      </w:pPr>
      <w:bookmarkStart w:id="2" w:name="bookmark2"/>
      <w:r>
        <w:rPr>
          <w:rStyle w:val="CharStyle12"/>
          <w:b/>
          <w:bCs/>
        </w:rPr>
        <w:t>от 06 ноября 2017 г. № 14-33</w:t>
      </w:r>
      <w:bookmarkEnd w:id="2"/>
    </w:p>
    <w:p>
      <w:pPr>
        <w:pStyle w:val="Style9"/>
        <w:widowControl w:val="0"/>
        <w:keepNext/>
        <w:keepLines/>
        <w:shd w:val="clear" w:color="auto" w:fill="auto"/>
        <w:bidi w:val="0"/>
        <w:spacing w:before="0" w:after="484" w:line="322" w:lineRule="exact"/>
        <w:ind w:left="20" w:right="0" w:firstLine="0"/>
      </w:pPr>
      <w:bookmarkStart w:id="3" w:name="bookmark3"/>
      <w:r>
        <w:rPr>
          <w:rStyle w:val="CharStyle12"/>
          <w:b/>
          <w:bCs/>
        </w:rPr>
        <w:t>Об утверждении лицензионных требований при осуществлении</w:t>
        <w:br/>
        <w:t>телевизионного вещания и (или) радиовещания</w:t>
      </w:r>
      <w:bookmarkEnd w:id="3"/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390"/>
        <w:ind w:left="0" w:right="0" w:firstLine="760"/>
      </w:pPr>
      <w:r>
        <w:rPr>
          <w:rStyle w:val="CharStyle15"/>
        </w:rPr>
        <w:t xml:space="preserve">Во исполнение статьи 32 Закона Донецкой Народной Республики от 29 июня 2015 г. № </w:t>
      </w:r>
      <w:r>
        <w:rPr>
          <w:rStyle w:val="CharStyle15"/>
          <w:lang w:val="en-US" w:eastAsia="en-US" w:bidi="en-US"/>
        </w:rPr>
        <w:t xml:space="preserve">59-IHC </w:t>
      </w:r>
      <w:r>
        <w:rPr>
          <w:rStyle w:val="CharStyle15"/>
        </w:rPr>
        <w:t>«О средствах массовой информации», с целью урегулирования порядка проведения лицензирования телевизионного вещания и (или) радиовещания Совет Министров Донецкой Народной Республики</w:t>
      </w:r>
    </w:p>
    <w:p>
      <w:pPr>
        <w:pStyle w:val="Style9"/>
        <w:widowControl w:val="0"/>
        <w:keepNext/>
        <w:keepLines/>
        <w:shd w:val="clear" w:color="auto" w:fill="auto"/>
        <w:bidi w:val="0"/>
        <w:jc w:val="left"/>
        <w:spacing w:before="0" w:after="359" w:line="280" w:lineRule="exact"/>
        <w:ind w:left="0" w:right="0" w:firstLine="0"/>
      </w:pPr>
      <w:bookmarkStart w:id="4" w:name="bookmark4"/>
      <w:r>
        <w:rPr>
          <w:rStyle w:val="CharStyle12"/>
          <w:b/>
          <w:bCs/>
        </w:rPr>
        <w:t>ПОСТАНОВЛЯЕТ:</w:t>
      </w:r>
      <w:bookmarkEnd w:id="4"/>
    </w:p>
    <w:p>
      <w:pPr>
        <w:pStyle w:val="Style13"/>
        <w:numPr>
          <w:ilvl w:val="0"/>
          <w:numId w:val="1"/>
        </w:numPr>
        <w:tabs>
          <w:tab w:leader="none" w:pos="1123" w:val="left"/>
        </w:tabs>
        <w:widowControl w:val="0"/>
        <w:keepNext w:val="0"/>
        <w:keepLines w:val="0"/>
        <w:shd w:val="clear" w:color="auto" w:fill="auto"/>
        <w:bidi w:val="0"/>
        <w:spacing w:before="0" w:after="233" w:line="322" w:lineRule="exact"/>
        <w:ind w:left="0" w:right="0" w:firstLine="760"/>
      </w:pPr>
      <w:r>
        <w:rPr>
          <w:rStyle w:val="CharStyle15"/>
        </w:rPr>
        <w:t>Утвердить лицензионные требования при осуществлении телевизионного вещания и (или) радиовещания (прилагаются).</w:t>
      </w:r>
    </w:p>
    <w:p>
      <w:pPr>
        <w:pStyle w:val="Style13"/>
        <w:numPr>
          <w:ilvl w:val="0"/>
          <w:numId w:val="1"/>
        </w:numPr>
        <w:tabs>
          <w:tab w:leader="none" w:pos="1123" w:val="left"/>
        </w:tabs>
        <w:widowControl w:val="0"/>
        <w:keepNext w:val="0"/>
        <w:keepLines w:val="0"/>
        <w:shd w:val="clear" w:color="auto" w:fill="auto"/>
        <w:bidi w:val="0"/>
        <w:spacing w:before="0" w:after="788" w:line="331" w:lineRule="exact"/>
        <w:ind w:left="0" w:right="0" w:firstLine="760"/>
      </w:pPr>
      <w:r>
        <w:rPr>
          <w:rStyle w:val="CharStyle15"/>
        </w:rPr>
        <w:t>Настоящее Постановление вступает в силу через 10 дней со дня официального опубликования.</w:t>
      </w:r>
    </w:p>
    <w:p>
      <w:pPr>
        <w:pStyle w:val="Style9"/>
        <w:widowControl w:val="0"/>
        <w:keepNext/>
        <w:keepLines/>
        <w:shd w:val="clear" w:color="auto" w:fill="auto"/>
        <w:bidi w:val="0"/>
        <w:jc w:val="left"/>
        <w:spacing w:before="0" w:after="0" w:line="322" w:lineRule="exact"/>
        <w:ind w:left="0" w:right="4680" w:firstLine="0"/>
        <w:sectPr>
          <w:type w:val="continuous"/>
          <w:pgSz w:w="11900" w:h="16840"/>
          <w:pgMar w:top="2827" w:left="1510" w:right="689" w:bottom="2827" w:header="0" w:footer="3" w:gutter="0"/>
          <w:rtlGutter w:val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5.9pt;margin-top:11.85pt;width:104.65pt;height:17.2pt;z-index:-125829376;mso-wrap-distance-left:5.pt;mso-wrap-distance-top:6.9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5"/>
                      <w:b/>
                      <w:bCs/>
                    </w:rPr>
                    <w:t>А.В.Захарченко</w:t>
                  </w:r>
                </w:p>
              </w:txbxContent>
            </v:textbox>
            <w10:wrap type="square" side="left" anchorx="margin"/>
          </v:shape>
        </w:pict>
      </w:r>
      <w:bookmarkStart w:id="5" w:name="bookmark5"/>
      <w:r>
        <w:rPr>
          <w:rStyle w:val="CharStyle12"/>
          <w:b/>
          <w:bCs/>
        </w:rPr>
        <w:t>Председатель Совета Министров</w:t>
      </w:r>
      <w:bookmarkEnd w:id="5"/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298" w:line="280" w:lineRule="exact"/>
        <w:ind w:left="58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УТВЕРЖДЕНЫ: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420"/>
        <w:ind w:left="58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Постановлением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420"/>
        <w:ind w:left="58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Совета Министров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jc w:val="left"/>
        <w:spacing w:before="0" w:after="896"/>
        <w:ind w:left="58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Донецкой Народной Республики от 06 ноября 2017 г. № 14-33</w:t>
      </w:r>
    </w:p>
    <w:p>
      <w:pPr>
        <w:pStyle w:val="Style16"/>
        <w:widowControl w:val="0"/>
        <w:keepNext/>
        <w:keepLines/>
        <w:shd w:val="clear" w:color="auto" w:fill="auto"/>
        <w:bidi w:val="0"/>
        <w:spacing w:before="0" w:after="900" w:line="322" w:lineRule="exact"/>
        <w:ind w:left="0" w:right="0" w:firstLine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Лицензионные требования при осуществлении телевизионного</w:t>
      </w:r>
      <w:bookmarkEnd w:id="6"/>
    </w:p>
    <w:p>
      <w:pPr>
        <w:pStyle w:val="Style16"/>
        <w:widowControl w:val="0"/>
        <w:keepNext/>
        <w:keepLines/>
        <w:shd w:val="clear" w:color="auto" w:fill="auto"/>
        <w:bidi w:val="0"/>
        <w:spacing w:before="0" w:after="30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вещания и (или) радиовещания</w:t>
      </w:r>
    </w:p>
    <w:p>
      <w:pPr>
        <w:pStyle w:val="Style13"/>
        <w:numPr>
          <w:ilvl w:val="0"/>
          <w:numId w:val="3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30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Настоящие лицензионные требования устанавливаются к соискателям лицензии и лицензиатам такого вида деятельности, как телевизионное вещание и (или) радиовещание, осуществляемого субъектами хозяйствования на территории Донецкой Народной Республики.</w:t>
      </w:r>
    </w:p>
    <w:p>
      <w:pPr>
        <w:pStyle w:val="Style13"/>
        <w:numPr>
          <w:ilvl w:val="0"/>
          <w:numId w:val="3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30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Лицензирование телевизионного вещания и (или) радиовещания осуществляется Министерством информации Донецкой Народной Республики (далее - лицензирующий орган).</w:t>
      </w:r>
    </w:p>
    <w:p>
      <w:pPr>
        <w:pStyle w:val="Style13"/>
        <w:numPr>
          <w:ilvl w:val="0"/>
          <w:numId w:val="3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Лицензионными требованиями, предъявляемыми к соискателю лицензии на телевизионное вещание и (или) радиовещание, являются:</w:t>
      </w:r>
    </w:p>
    <w:p>
      <w:pPr>
        <w:pStyle w:val="Style13"/>
        <w:numPr>
          <w:ilvl w:val="1"/>
          <w:numId w:val="3"/>
        </w:numPr>
        <w:tabs>
          <w:tab w:leader="none" w:pos="1280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наличие у соискателя лицензии статуса редакции планируемого к распространению соискателем лицензии телеканала или радиоканала, подтверждаемого уставом редакции, - в случае, предусмотренном частью 3 статьи 32 Законом Донецкой Народной Республики от 29 июня 2015 года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59-IHC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«О средствах массовой информации» (далее - Закон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59-IHC);</w:t>
      </w:r>
    </w:p>
    <w:p>
      <w:pPr>
        <w:pStyle w:val="Style13"/>
        <w:numPr>
          <w:ilvl w:val="1"/>
          <w:numId w:val="3"/>
        </w:numPr>
        <w:tabs>
          <w:tab w:leader="none" w:pos="128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наличие у соискателя лицензии договора с редакцией планируемого к распространению соискателем лицензии телеканала или радиоканала - в случае, предусмотренном частью 4 статьи 32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59-IHC,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иные законные основания;</w:t>
      </w:r>
    </w:p>
    <w:p>
      <w:pPr>
        <w:pStyle w:val="Style13"/>
        <w:numPr>
          <w:ilvl w:val="1"/>
          <w:numId w:val="3"/>
        </w:numPr>
        <w:tabs>
          <w:tab w:leader="none" w:pos="1280" w:val="left"/>
        </w:tabs>
        <w:widowControl w:val="0"/>
        <w:keepNext w:val="0"/>
        <w:keepLines w:val="0"/>
        <w:shd w:val="clear" w:color="auto" w:fill="auto"/>
        <w:bidi w:val="0"/>
        <w:spacing w:before="0" w:after="296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соответствие планируемого к распространению соискателем лицензии телеканала или радиоканала требованиям, связанным с его учреждением, предусмотренным статьей 9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0"/>
          <w:numId w:val="3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Лицензионными требованиями, предъявляемыми к лицензиату, являются:</w:t>
      </w:r>
    </w:p>
    <w:p>
      <w:pPr>
        <w:pStyle w:val="Style13"/>
        <w:numPr>
          <w:ilvl w:val="1"/>
          <w:numId w:val="3"/>
        </w:numPr>
        <w:tabs>
          <w:tab w:leader="none" w:pos="1280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лицензиатом следующих параметров вещания, указанных в лицензии:</w:t>
      </w:r>
    </w:p>
    <w:p>
      <w:pPr>
        <w:pStyle w:val="Style13"/>
        <w:numPr>
          <w:ilvl w:val="0"/>
          <w:numId w:val="5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вещание указанного в лицензии телеканала или радиоканала;</w:t>
      </w:r>
    </w:p>
    <w:p>
      <w:pPr>
        <w:pStyle w:val="Style13"/>
        <w:numPr>
          <w:ilvl w:val="0"/>
          <w:numId w:val="5"/>
        </w:numPr>
        <w:tabs>
          <w:tab w:leader="none" w:pos="113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  <w:sectPr>
          <w:pgSz w:w="11900" w:h="16840"/>
          <w:pgMar w:top="1162" w:left="1383" w:right="533" w:bottom="118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программной направленности телеканала или радиоканала, а для вещателей, осуществляющих вещание с использованием ограниченного радиочастотного ресурса, право на использование которого получено по результатам торгов, соблюдение программной концепции вещания;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вещание в пределах территории распространения телеканала или радиоканала, указанной в лицензии;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объемов вещания (в часах);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даты начала вещания;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срок действия лицензии на телевизионное вещание, радиовещание;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вещание телеканала и (или) радиоканала в определенной лицензией среде вещания - для вещателей, не являющихся редакцией телеканала или радиоканала;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вещание в присвоенной полосе (номинале) радиочастот - в случае наземного эфирного, спутникового вещания;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указанных в лицензии данных о месте установки и мощности используемых передатчиков;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вещание телеканала или радиоканала на указанной в лицензии конкретной позиции в мультиплексе - в случае наземного эфирного цифрового вещания;</w:t>
      </w:r>
    </w:p>
    <w:p>
      <w:pPr>
        <w:pStyle w:val="Style13"/>
        <w:numPr>
          <w:ilvl w:val="0"/>
          <w:numId w:val="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соблюдение параметров спутникового вещания - для спутникового вещания.</w:t>
      </w:r>
    </w:p>
    <w:p>
      <w:pPr>
        <w:pStyle w:val="Style13"/>
        <w:numPr>
          <w:ilvl w:val="1"/>
          <w:numId w:val="3"/>
        </w:numPr>
        <w:tabs>
          <w:tab w:leader="none" w:pos="125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Наличие у лицензиата статуса редакции распространяемого лицензиатом телеканала или радиоканала, подтверждаемого уставом редакции, - в случае, предусмотренном частью 3 статьи 32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5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Наличие у лицензиата договора с редакцией распространяемого лицензиатом телеканала или радиоканала - в случае, предусмотренном частью 4 статьи 32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5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Предоставление в лицензирующий орган сведений об операторах связи (операторах телекоммуникаций), осуществляющих трансляцию телеканала или радиоканала по договору с вещателем таких телеканала или радиоканала, и о лицах, распространяющих телеканал или радиоканал в неизменном виде по договору с вещателем таких телеканала или радиоканала, в порядке, установленном статьей 41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50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Выполнение лицензиатом условий осуществления эфирного вещания с использованием присвоенных полос радиочастот, в том числе определенных по результатам торгов (конкурса, аукциона).</w:t>
      </w:r>
    </w:p>
    <w:p>
      <w:pPr>
        <w:pStyle w:val="Style13"/>
        <w:numPr>
          <w:ilvl w:val="1"/>
          <w:numId w:val="3"/>
        </w:numPr>
        <w:tabs>
          <w:tab w:leader="none" w:pos="1254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Соблюдение требований об объявлении выходных данных телеканала, радиоканала, телепрограммы и радиопрограммы в составе соответственно телеканала или радиоканала, установленных статьей 30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50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Распространение обязательных сообщений, предусмотренных статьей 45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50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Соответствие распространяемого лицензиатом телеканала или радиоканала ограничениям, связанным с его учреждением, предусмотренным частью 1 статьи 9 Закона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>59-IHC.</w:t>
      </w:r>
    </w:p>
    <w:p>
      <w:pPr>
        <w:pStyle w:val="Style13"/>
        <w:numPr>
          <w:ilvl w:val="1"/>
          <w:numId w:val="3"/>
        </w:numPr>
        <w:tabs>
          <w:tab w:leader="none" w:pos="1284" w:val="left"/>
          <w:tab w:leader="none" w:pos="4234" w:val="left"/>
          <w:tab w:leader="none" w:pos="7258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Распространение</w:t>
        <w:tab/>
        <w:t>соответствующих</w:t>
        <w:tab/>
        <w:t>общереспубликанских</w:t>
      </w:r>
    </w:p>
    <w:p>
      <w:pPr>
        <w:pStyle w:val="Style13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обязательных общедоступных телеканала или радиоканала на территории проживания населения Донецкой Народной Республики - для лицензиатов- вещателей общереспубликанских обязательных общедоступных телеканалов и (или) радиоканалов.</w:t>
      </w:r>
    </w:p>
    <w:p>
      <w:pPr>
        <w:pStyle w:val="Style13"/>
        <w:numPr>
          <w:ilvl w:val="1"/>
          <w:numId w:val="3"/>
        </w:numPr>
        <w:tabs>
          <w:tab w:leader="none" w:pos="1378" w:val="left"/>
        </w:tabs>
        <w:widowControl w:val="0"/>
        <w:keepNext w:val="0"/>
        <w:keepLines w:val="0"/>
        <w:shd w:val="clear" w:color="auto" w:fill="auto"/>
        <w:bidi w:val="0"/>
        <w:spacing w:before="0" w:after="30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Наличие договора с оператором связи (оператором телекоммуникаций), осуществляющим эфирную наземную трансляцию обязательных общедоступных телеканалов и (или) радиоканалов, а также эфирную цифровую наземную трансляцию телеканалов, и получившим право на осуществление эфирного цифрового наземного вещания с использованием позиций в мультиплексах - для лицензиатов-вещателей обязательных общедоступных телеканалов, радиоканалов, определяемых Главой Донецкой Народной Республики.</w:t>
      </w:r>
    </w:p>
    <w:p>
      <w:pPr>
        <w:pStyle w:val="Style13"/>
        <w:numPr>
          <w:ilvl w:val="0"/>
          <w:numId w:val="3"/>
        </w:numPr>
        <w:tabs>
          <w:tab w:leader="none" w:pos="1133" w:val="left"/>
        </w:tabs>
        <w:widowControl w:val="0"/>
        <w:keepNext w:val="0"/>
        <w:keepLines w:val="0"/>
        <w:shd w:val="clear" w:color="auto" w:fill="auto"/>
        <w:bidi w:val="0"/>
        <w:spacing w:before="0" w:after="30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Лицензиат обязан уведомить лицензирующий орган обо всех изменениях данных, указанных в документах, которые добавлялись к заявлению о выдаче лицензии в порядке, установленном частью 5 статьи 9 и частью 1 статьи 18 Закона Донецкой Народной Республики от 27 февраля 2015 г. №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18-IHC </w:t>
      </w:r>
      <w:r>
        <w:rPr>
          <w:lang w:val="ru-RU" w:eastAsia="ru-RU" w:bidi="ru-RU"/>
          <w:w w:val="100"/>
          <w:spacing w:val="0"/>
          <w:color w:val="000000"/>
          <w:position w:val="0"/>
        </w:rPr>
        <w:t>«О лицензировании отдельных видов хозяйственной деятельности».</w:t>
      </w:r>
    </w:p>
    <w:p>
      <w:pPr>
        <w:pStyle w:val="Style13"/>
        <w:numPr>
          <w:ilvl w:val="0"/>
          <w:numId w:val="3"/>
        </w:numPr>
        <w:tabs>
          <w:tab w:leader="none" w:pos="1133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Грубым нарушением лицензионных требований являются нарушения, установленные подпунктами 2, 10 пункта 4.1 и пунктом 4.5 настоящих Лицензионных требований, повлекшие за собой:</w:t>
      </w:r>
    </w:p>
    <w:p>
      <w:pPr>
        <w:pStyle w:val="Style13"/>
        <w:numPr>
          <w:ilvl w:val="1"/>
          <w:numId w:val="3"/>
        </w:numPr>
        <w:tabs>
          <w:tab w:leader="none" w:pos="13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(памятники истории и культуры) народов Донецкой Народной Республики, а также угрозы чрезвычайных ситуаций техногенного характера;</w:t>
      </w:r>
    </w:p>
    <w:p>
      <w:pPr>
        <w:pStyle w:val="Style13"/>
        <w:numPr>
          <w:ilvl w:val="1"/>
          <w:numId w:val="3"/>
        </w:numPr>
        <w:tabs>
          <w:tab w:leader="none" w:pos="1326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человеческие жертвы или причинение тяжкого вреда здоровью граждан, причинение средней тяжести вреда здоровью двух и более граждан, причинение вреда животным, растениям, окружающей среде, объектам культурного наследия (памятникам истории и культуры) народов Донецкой Народной Республики, возникновение чрезвычайных ситуаций техногенного характера, нанесение ущерба правам, законным интересам граждан, обороне республики и ее безопасности.</w:t>
      </w:r>
    </w:p>
    <w:sectPr>
      <w:headerReference w:type="default" r:id="rId7"/>
      <w:pgSz w:w="11900" w:h="16840"/>
      <w:pgMar w:top="1162" w:left="1383" w:right="533" w:bottom="1181" w:header="0" w:footer="3" w:gutter="0"/>
      <w:rtlGutter w:val="0"/>
      <w:cols w:space="720"/>
      <w:pgNumType w:start="2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316.7pt;margin-top:38.9pt;width:4.3pt;height:6.9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20"/>
                      <w:b/>
                      <w:bCs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Подпись к картинке Exact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5">
    <w:name w:val="Подпись к картинке Exact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">
    <w:name w:val="Заголовок №1_"/>
    <w:basedOn w:val="DefaultParagraphFont"/>
    <w:link w:val="Style6"/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character" w:customStyle="1" w:styleId="CharStyle8">
    <w:name w:val="Заголовок №1"/>
    <w:basedOn w:val="CharStyle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0">
    <w:name w:val="Заголовок №2_"/>
    <w:basedOn w:val="DefaultParagraphFont"/>
    <w:link w:val="Style9"/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character" w:customStyle="1" w:styleId="CharStyle11">
    <w:name w:val="Заголовок №2"/>
    <w:basedOn w:val="CharStyle1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2">
    <w:name w:val="Заголовок №2 + 14 pt"/>
    <w:basedOn w:val="CharStyle10"/>
    <w:rPr>
      <w:lang w:val="ru-RU" w:eastAsia="ru-RU" w:bidi="ru-RU"/>
      <w:sz w:val="28"/>
      <w:szCs w:val="28"/>
      <w:w w:val="100"/>
      <w:spacing w:val="0"/>
      <w:color w:val="000000"/>
      <w:position w:val="0"/>
    </w:rPr>
  </w:style>
  <w:style w:type="character" w:customStyle="1" w:styleId="CharStyle14">
    <w:name w:val="Основной текст (2)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5">
    <w:name w:val="Основной текст (2)"/>
    <w:basedOn w:val="CharStyle1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7">
    <w:name w:val="Заголовок №3_"/>
    <w:basedOn w:val="DefaultParagraphFont"/>
    <w:link w:val="Style16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9">
    <w:name w:val="Колонтитул_"/>
    <w:basedOn w:val="DefaultParagraphFont"/>
    <w:link w:val="Style18"/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20">
    <w:name w:val="Колонтитул"/>
    <w:basedOn w:val="CharStyle19"/>
    <w:rPr>
      <w:lang w:val="ru-RU" w:eastAsia="ru-RU" w:bidi="ru-RU"/>
      <w:w w:val="100"/>
      <w:spacing w:val="0"/>
      <w:color w:val="000000"/>
      <w:position w:val="0"/>
    </w:rPr>
  </w:style>
  <w:style w:type="paragraph" w:customStyle="1" w:styleId="Style3">
    <w:name w:val="Подпись к картинке"/>
    <w:basedOn w:val="Normal"/>
    <w:link w:val="CharStyle4"/>
    <w:pPr>
      <w:widowControl w:val="0"/>
      <w:shd w:val="clear" w:color="auto" w:fill="FFFFFF"/>
      <w:spacing w:line="322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6">
    <w:name w:val="Заголовок №1"/>
    <w:basedOn w:val="Normal"/>
    <w:link w:val="CharStyle7"/>
    <w:pPr>
      <w:widowControl w:val="0"/>
      <w:shd w:val="clear" w:color="auto" w:fill="FFFFFF"/>
      <w:jc w:val="center"/>
      <w:outlineLvl w:val="0"/>
      <w:spacing w:after="240" w:line="456" w:lineRule="exact"/>
    </w:pPr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paragraph" w:customStyle="1" w:styleId="Style9">
    <w:name w:val="Заголовок №2"/>
    <w:basedOn w:val="Normal"/>
    <w:link w:val="CharStyle10"/>
    <w:pPr>
      <w:widowControl w:val="0"/>
      <w:shd w:val="clear" w:color="auto" w:fill="FFFFFF"/>
      <w:jc w:val="center"/>
      <w:outlineLvl w:val="1"/>
      <w:spacing w:before="240" w:line="811" w:lineRule="exact"/>
    </w:pPr>
    <w:rPr>
      <w:b/>
      <w:bCs/>
      <w:i w:val="0"/>
      <w:iCs w:val="0"/>
      <w:u w:val="none"/>
      <w:strike w:val="0"/>
      <w:smallCaps w:val="0"/>
      <w:sz w:val="32"/>
      <w:szCs w:val="32"/>
      <w:rFonts w:ascii="Times New Roman" w:eastAsia="Times New Roman" w:hAnsi="Times New Roman" w:cs="Times New Roman"/>
    </w:rPr>
  </w:style>
  <w:style w:type="paragraph" w:customStyle="1" w:styleId="Style13">
    <w:name w:val="Основной текст (2)"/>
    <w:basedOn w:val="Normal"/>
    <w:link w:val="CharStyle14"/>
    <w:pPr>
      <w:widowControl w:val="0"/>
      <w:shd w:val="clear" w:color="auto" w:fill="FFFFFF"/>
      <w:jc w:val="both"/>
      <w:spacing w:before="480" w:after="360" w:line="317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6">
    <w:name w:val="Заголовок №3"/>
    <w:basedOn w:val="Normal"/>
    <w:link w:val="CharStyle17"/>
    <w:pPr>
      <w:widowControl w:val="0"/>
      <w:shd w:val="clear" w:color="auto" w:fill="FFFFFF"/>
      <w:jc w:val="center"/>
      <w:outlineLvl w:val="2"/>
      <w:spacing w:line="811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18">
    <w:name w:val="Колонтитул"/>
    <w:basedOn w:val="Normal"/>
    <w:link w:val="CharStyle19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header" Target="header1.xml"/></Relationships>
</file>