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83" w:rsidRDefault="00874883" w:rsidP="00874883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EF91100" wp14:editId="798E58C3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943" w:rsidRDefault="00B1382B" w:rsidP="00874883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C7943" w:rsidRDefault="00B1382B" w:rsidP="00874883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СОВЕТ МИНИСТРОВ</w:t>
      </w:r>
    </w:p>
    <w:p w:rsidR="00AC7943" w:rsidRDefault="00B1382B" w:rsidP="00874883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874883" w:rsidRDefault="00874883" w:rsidP="00874883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874883" w:rsidRDefault="00B1382B" w:rsidP="0087488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874883" w:rsidRDefault="00874883" w:rsidP="00874883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AC7943" w:rsidRDefault="00B1382B" w:rsidP="0087488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16-12</w:t>
      </w:r>
    </w:p>
    <w:p w:rsidR="00874883" w:rsidRDefault="00874883" w:rsidP="0087488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874883" w:rsidRDefault="00874883" w:rsidP="00874883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AC7943" w:rsidRDefault="00B1382B" w:rsidP="00874883">
      <w:pPr>
        <w:pStyle w:val="30"/>
        <w:shd w:val="clear" w:color="auto" w:fill="auto"/>
        <w:spacing w:before="0" w:after="0" w:line="276" w:lineRule="auto"/>
        <w:ind w:right="40"/>
      </w:pPr>
      <w:r>
        <w:rPr>
          <w:rStyle w:val="31"/>
          <w:b/>
          <w:bCs/>
        </w:rPr>
        <w:t>О внесении изменений в Постановление Президиума Совета Министров</w:t>
      </w:r>
      <w:r>
        <w:rPr>
          <w:rStyle w:val="31"/>
          <w:b/>
          <w:bCs/>
        </w:rPr>
        <w:br/>
        <w:t>Донецкой Народной Республики от 27 марта 2017 г. № 4-9</w:t>
      </w:r>
    </w:p>
    <w:p w:rsidR="00AC7943" w:rsidRDefault="00B1382B" w:rsidP="00874883">
      <w:pPr>
        <w:pStyle w:val="30"/>
        <w:shd w:val="clear" w:color="auto" w:fill="auto"/>
        <w:spacing w:before="0" w:after="0" w:line="276" w:lineRule="auto"/>
        <w:ind w:right="40"/>
      </w:pPr>
      <w:r>
        <w:rPr>
          <w:rStyle w:val="31"/>
          <w:b/>
          <w:bCs/>
        </w:rPr>
        <w:t xml:space="preserve">«О порядке перемещения субъектами </w:t>
      </w:r>
      <w:r>
        <w:rPr>
          <w:rStyle w:val="31"/>
          <w:b/>
          <w:bCs/>
        </w:rPr>
        <w:t>хозяйствования</w:t>
      </w:r>
    </w:p>
    <w:p w:rsidR="00AC7943" w:rsidRDefault="00B1382B" w:rsidP="00874883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Луганской Народной Республики и Донецкой Народной Республики</w:t>
      </w:r>
      <w:r>
        <w:rPr>
          <w:rStyle w:val="31"/>
          <w:b/>
          <w:bCs/>
        </w:rPr>
        <w:br/>
        <w:t>товаров и иных предметов через административную границу между</w:t>
      </w:r>
      <w:r>
        <w:rPr>
          <w:rStyle w:val="31"/>
          <w:b/>
          <w:bCs/>
        </w:rPr>
        <w:br/>
        <w:t>Донецкой Народной Республикой и Луганской Народной Республикой»</w:t>
      </w: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ind w:right="40"/>
      </w:pPr>
    </w:p>
    <w:p w:rsidR="00AC7943" w:rsidRDefault="00B1382B" w:rsidP="00874883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>С целью реализации таможенной политики Донецкой Народн</w:t>
      </w:r>
      <w:r>
        <w:rPr>
          <w:rStyle w:val="24"/>
        </w:rPr>
        <w:t xml:space="preserve">ой Республики, упрощения процедур таможенного оформления товаров, произведенных в Луганской Народной Республике, руководствуясь частью 2 статьи 151 </w:t>
      </w:r>
      <w:hyperlink r:id="rId9" w:history="1">
        <w:r w:rsidRPr="007322DE">
          <w:rPr>
            <w:rStyle w:val="a3"/>
          </w:rPr>
          <w:t>Закона Донецкой Народной Республики «О таможенном регулировании в Донецкой Народной Республике»</w:t>
        </w:r>
      </w:hyperlink>
      <w:r>
        <w:rPr>
          <w:rStyle w:val="24"/>
        </w:rPr>
        <w:t>, Президиум С</w:t>
      </w:r>
      <w:r>
        <w:rPr>
          <w:rStyle w:val="24"/>
        </w:rPr>
        <w:t>овета Министров Донецкой Народной Республики</w:t>
      </w:r>
    </w:p>
    <w:p w:rsidR="00874883" w:rsidRDefault="00874883" w:rsidP="00874883">
      <w:pPr>
        <w:pStyle w:val="23"/>
        <w:shd w:val="clear" w:color="auto" w:fill="auto"/>
        <w:spacing w:before="0" w:after="0" w:line="276" w:lineRule="auto"/>
        <w:ind w:firstLine="780"/>
      </w:pPr>
    </w:p>
    <w:p w:rsidR="00AC7943" w:rsidRDefault="00B1382B" w:rsidP="00874883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jc w:val="left"/>
      </w:pP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firstLine="780"/>
      </w:pPr>
      <w:r>
        <w:rPr>
          <w:rStyle w:val="24"/>
        </w:rPr>
        <w:t xml:space="preserve">Дополнить подпункт 1.1 пункта 1 </w:t>
      </w:r>
      <w:hyperlink r:id="rId10" w:history="1">
        <w:r w:rsidRPr="003D67B7">
          <w:rPr>
            <w:rStyle w:val="a3"/>
          </w:rPr>
          <w:t>Постановления Президиума Совета Министров Донецкой Народной Республики от 27 марта 2017 года №4-9 «О порядке перемещения субъектами хозяйствования Луганской Народной</w:t>
        </w:r>
        <w:r w:rsidRPr="003D67B7">
          <w:rPr>
            <w:rStyle w:val="a3"/>
          </w:rPr>
          <w:t xml:space="preserve"> Республики и Донецкой Народной Республики товаров и иных предметов через административную границу Донецкой Народной Республики и Луганской Народной Республики»</w:t>
        </w:r>
      </w:hyperlink>
      <w:r>
        <w:rPr>
          <w:rStyle w:val="24"/>
        </w:rPr>
        <w:t xml:space="preserve"> (далее - Постановление) абзацем 3 следующего содержания:</w:t>
      </w:r>
    </w:p>
    <w:p w:rsidR="00874883" w:rsidRDefault="00B1382B" w:rsidP="00874883">
      <w:pPr>
        <w:pStyle w:val="23"/>
        <w:shd w:val="clear" w:color="auto" w:fill="auto"/>
        <w:spacing w:before="0" w:after="0" w:line="276" w:lineRule="auto"/>
        <w:ind w:firstLine="560"/>
        <w:rPr>
          <w:rStyle w:val="24"/>
        </w:rPr>
      </w:pPr>
      <w:r>
        <w:rPr>
          <w:rStyle w:val="24"/>
        </w:rPr>
        <w:t>«3) товаросопроводительных и транспорт</w:t>
      </w:r>
      <w:r>
        <w:rPr>
          <w:rStyle w:val="24"/>
        </w:rPr>
        <w:t xml:space="preserve">ных документов, </w:t>
      </w:r>
      <w:r>
        <w:rPr>
          <w:rStyle w:val="24"/>
        </w:rPr>
        <w:lastRenderedPageBreak/>
        <w:t>подтверждающих производство товара на территории Луганской Народной Республики, с оформлением документа контроля доставки товаров на бланке провозной ведомости, с проставлением на товаросопроводительных и транспортных документах оттиска шта</w:t>
      </w:r>
      <w:r>
        <w:rPr>
          <w:rStyle w:val="24"/>
        </w:rPr>
        <w:t>мпа «Под таможенным контролем»</w:t>
      </w:r>
    </w:p>
    <w:p w:rsidR="00AC7943" w:rsidRDefault="00B1382B" w:rsidP="00874883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>должностного лица таможенного органа, свидетельствующего о проведении учета и пропуске товара на территорию Донецкой Народной Республики с целью транзита, с освобождением от уплаты единого сбора».</w:t>
      </w: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 xml:space="preserve">Исключить из пункта 1.2 </w:t>
      </w:r>
      <w:hyperlink r:id="rId11" w:history="1">
        <w:r w:rsidRPr="003D67B7">
          <w:rPr>
            <w:rStyle w:val="a3"/>
          </w:rPr>
          <w:t>Пост</w:t>
        </w:r>
        <w:r w:rsidRPr="003D67B7">
          <w:rPr>
            <w:rStyle w:val="a3"/>
          </w:rPr>
          <w:t>ановления</w:t>
        </w:r>
      </w:hyperlink>
      <w:r>
        <w:rPr>
          <w:rStyle w:val="24"/>
        </w:rPr>
        <w:t xml:space="preserve"> словосочетание «и товаров подакцизной группы».</w:t>
      </w: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 xml:space="preserve">Исключить из пункта 1.3 </w:t>
      </w:r>
      <w:hyperlink r:id="rId12" w:history="1">
        <w:r w:rsidRPr="003D67B7">
          <w:rPr>
            <w:rStyle w:val="a3"/>
          </w:rPr>
          <w:t>Постановления</w:t>
        </w:r>
      </w:hyperlink>
      <w:r>
        <w:rPr>
          <w:rStyle w:val="24"/>
        </w:rPr>
        <w:t xml:space="preserve"> словосочетание «а также товаров подакцизной группы».</w:t>
      </w: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>Изложить пункт 3 Постановления в следующей редакции:</w:t>
      </w:r>
    </w:p>
    <w:p w:rsidR="00AC7943" w:rsidRDefault="00B1382B" w:rsidP="00874883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«3. Запретить ввоз </w:t>
      </w:r>
      <w:proofErr w:type="gramStart"/>
      <w:r>
        <w:rPr>
          <w:rStyle w:val="24"/>
        </w:rPr>
        <w:t>на территорию Донецкой Народной Респ</w:t>
      </w:r>
      <w:r>
        <w:rPr>
          <w:rStyle w:val="24"/>
        </w:rPr>
        <w:t>ублики через места проведения контроля на административной границе Донецкой Народной Республики с Луганской Народной Республикой товаров подакцизной группы вне зависимости</w:t>
      </w:r>
      <w:proofErr w:type="gramEnd"/>
      <w:r>
        <w:rPr>
          <w:rStyle w:val="24"/>
        </w:rPr>
        <w:t xml:space="preserve"> от страны происхождения (за исключением транзита на территорию Российской Федерации)</w:t>
      </w:r>
      <w:r>
        <w:rPr>
          <w:rStyle w:val="24"/>
        </w:rPr>
        <w:t>».</w:t>
      </w: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 xml:space="preserve">Дополнить </w:t>
      </w:r>
      <w:hyperlink r:id="rId13" w:history="1">
        <w:r w:rsidRPr="003D67B7">
          <w:rPr>
            <w:rStyle w:val="a3"/>
          </w:rPr>
          <w:t>Постановление</w:t>
        </w:r>
      </w:hyperlink>
      <w:r>
        <w:rPr>
          <w:rStyle w:val="24"/>
        </w:rPr>
        <w:t xml:space="preserve"> пунктом 4 следующего содержания:</w:t>
      </w:r>
    </w:p>
    <w:p w:rsidR="00AC7943" w:rsidRDefault="00B1382B" w:rsidP="00874883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«4. </w:t>
      </w:r>
      <w:proofErr w:type="gramStart"/>
      <w:r>
        <w:rPr>
          <w:rStyle w:val="24"/>
        </w:rPr>
        <w:t>В случае установления запретов и ограничений со стороны Луганской Народной Республики на ввоз товаров и иных предметов с территории Донецкой Народной Республики аналогичные запреты и ограничен</w:t>
      </w:r>
      <w:r>
        <w:rPr>
          <w:rStyle w:val="24"/>
        </w:rPr>
        <w:t>ия на ввоз на территорию Донецкой Народной Республики с территории Луганской Народной Республики устанавливаются нормативными правовыми актами Донецкой Народной Республики в отношении тех же товаров и иных предметов».</w:t>
      </w:r>
      <w:proofErr w:type="gramEnd"/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 xml:space="preserve">Дополнить </w:t>
      </w:r>
      <w:hyperlink r:id="rId14" w:history="1">
        <w:r w:rsidRPr="003D67B7">
          <w:rPr>
            <w:rStyle w:val="a3"/>
          </w:rPr>
          <w:t>Постановление</w:t>
        </w:r>
      </w:hyperlink>
      <w:bookmarkStart w:id="2" w:name="_GoBack"/>
      <w:bookmarkEnd w:id="2"/>
      <w:r>
        <w:rPr>
          <w:rStyle w:val="24"/>
        </w:rPr>
        <w:t xml:space="preserve"> пунктом 5 след</w:t>
      </w:r>
      <w:r>
        <w:rPr>
          <w:rStyle w:val="24"/>
        </w:rPr>
        <w:t>ующего содержания:</w:t>
      </w:r>
    </w:p>
    <w:p w:rsidR="00AC7943" w:rsidRDefault="00B1382B" w:rsidP="00874883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«5. Настоящее Постановление вступает в силу со дня его официального опубликования».</w:t>
      </w:r>
    </w:p>
    <w:p w:rsidR="00AC7943" w:rsidRDefault="00B1382B" w:rsidP="00874883">
      <w:pPr>
        <w:pStyle w:val="23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76" w:lineRule="auto"/>
        <w:ind w:firstLine="760"/>
      </w:pPr>
      <w:r>
        <w:rPr>
          <w:rStyle w:val="24"/>
        </w:rPr>
        <w:t>Настоящее Постановление вступает в силу со дня его официального опубликования.</w:t>
      </w: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</w:p>
    <w:p w:rsidR="00874883" w:rsidRDefault="00874883" w:rsidP="00874883">
      <w:pPr>
        <w:pStyle w:val="30"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</w:p>
    <w:p w:rsidR="00AC7943" w:rsidRDefault="00874883" w:rsidP="00874883">
      <w:pPr>
        <w:pStyle w:val="a4"/>
        <w:shd w:val="clear" w:color="auto" w:fill="auto"/>
        <w:spacing w:line="276" w:lineRule="auto"/>
      </w:pPr>
      <w:r>
        <w:rPr>
          <w:rStyle w:val="Exact0"/>
          <w:b/>
          <w:bCs/>
        </w:rPr>
        <w:t xml:space="preserve">Председатель </w:t>
      </w:r>
      <w:r>
        <w:rPr>
          <w:rStyle w:val="Exact0"/>
          <w:b/>
          <w:bCs/>
        </w:rPr>
        <w:br/>
      </w:r>
      <w:r>
        <w:rPr>
          <w:rStyle w:val="Exact0"/>
          <w:b/>
          <w:bCs/>
        </w:rPr>
        <w:t>Совета Министров</w:t>
      </w:r>
      <w:r>
        <w:rPr>
          <w:rStyle w:val="Exact0"/>
          <w:b/>
          <w:bCs/>
        </w:rPr>
        <w:t xml:space="preserve">                                                                        </w:t>
      </w:r>
      <w:r w:rsidR="00B1382B">
        <w:rPr>
          <w:rStyle w:val="31"/>
          <w:b/>
          <w:bCs/>
        </w:rPr>
        <w:t>А.</w:t>
      </w:r>
      <w:r>
        <w:rPr>
          <w:rStyle w:val="31"/>
          <w:b/>
          <w:bCs/>
        </w:rPr>
        <w:t xml:space="preserve"> </w:t>
      </w:r>
      <w:r w:rsidR="00B1382B">
        <w:rPr>
          <w:rStyle w:val="31"/>
          <w:b/>
          <w:bCs/>
        </w:rPr>
        <w:t>В.</w:t>
      </w:r>
      <w:r>
        <w:rPr>
          <w:rStyle w:val="31"/>
          <w:b/>
          <w:bCs/>
        </w:rPr>
        <w:t xml:space="preserve"> </w:t>
      </w:r>
      <w:r w:rsidR="00B1382B">
        <w:rPr>
          <w:rStyle w:val="31"/>
          <w:b/>
          <w:bCs/>
        </w:rPr>
        <w:t>Захарченко</w:t>
      </w:r>
    </w:p>
    <w:sectPr w:rsidR="00AC7943" w:rsidSect="00874883">
      <w:headerReference w:type="default" r:id="rId15"/>
      <w:pgSz w:w="11900" w:h="16840"/>
      <w:pgMar w:top="851" w:right="598" w:bottom="993" w:left="15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82B" w:rsidRDefault="00B1382B">
      <w:r>
        <w:separator/>
      </w:r>
    </w:p>
  </w:endnote>
  <w:endnote w:type="continuationSeparator" w:id="0">
    <w:p w:rsidR="00B1382B" w:rsidRDefault="00B1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82B" w:rsidRDefault="00B1382B"/>
  </w:footnote>
  <w:footnote w:type="continuationSeparator" w:id="0">
    <w:p w:rsidR="00B1382B" w:rsidRDefault="00B138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43" w:rsidRDefault="00B138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2pt;margin-top:76.1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7943" w:rsidRDefault="00B1382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0672F"/>
    <w:multiLevelType w:val="multilevel"/>
    <w:tmpl w:val="65C6F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7943"/>
    <w:rsid w:val="003D67B7"/>
    <w:rsid w:val="007322DE"/>
    <w:rsid w:val="00874883"/>
    <w:rsid w:val="00AC7943"/>
    <w:rsid w:val="00B1382B"/>
    <w:rsid w:val="00B9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4883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488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.dnr-online.ru/wp-content/uploads/2017/04/Postanov_N4_9_27032017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.dnr-online.ru/wp-content/uploads/2017/04/Postanov_N4_9_27032017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7/04/Postanov_N4_9_2703201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doc.dnr-online.ru/wp-content/uploads/2017/04/Postanov_N4_9_2703201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14" Type="http://schemas.openxmlformats.org/officeDocument/2006/relationships/hyperlink" Target="http://doc.dnr-online.ru/wp-content/uploads/2017/04/Postanov_N4_9_2703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2019-08-28T11:25:00Z</dcterms:created>
  <dcterms:modified xsi:type="dcterms:W3CDTF">2019-08-28T11:43:00Z</dcterms:modified>
</cp:coreProperties>
</file>