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44" w:rsidRDefault="001F4744" w:rsidP="001F4744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0CA60A2D" wp14:editId="36597369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E28" w:rsidRDefault="00B96D00" w:rsidP="001F4744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DC3E28" w:rsidRDefault="00B96D00" w:rsidP="001F4744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1F4744" w:rsidRDefault="001F4744" w:rsidP="001F4744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DC3E28" w:rsidRDefault="00B96D00" w:rsidP="001F4744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1F4744" w:rsidRDefault="001F4744" w:rsidP="001F4744">
      <w:pPr>
        <w:pStyle w:val="30"/>
        <w:shd w:val="clear" w:color="auto" w:fill="auto"/>
        <w:spacing w:before="0" w:after="0" w:line="276" w:lineRule="auto"/>
        <w:ind w:left="20"/>
      </w:pPr>
    </w:p>
    <w:p w:rsidR="00DC3E28" w:rsidRDefault="00B96D00" w:rsidP="001F474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07 августа 2019г. № 21-11</w:t>
      </w:r>
      <w:bookmarkEnd w:id="2"/>
    </w:p>
    <w:p w:rsidR="001F4744" w:rsidRDefault="001F4744" w:rsidP="001F474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F4744" w:rsidRDefault="001F4744" w:rsidP="001F474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C3E28" w:rsidRDefault="00B96D00" w:rsidP="001F4744">
      <w:pPr>
        <w:pStyle w:val="40"/>
        <w:shd w:val="clear" w:color="auto" w:fill="auto"/>
        <w:spacing w:before="0" w:after="0" w:line="276" w:lineRule="auto"/>
        <w:ind w:left="20"/>
      </w:pPr>
      <w:r>
        <w:t>«О внесении изменений в Постановление Совета Министров</w:t>
      </w:r>
    </w:p>
    <w:p w:rsidR="00DC3E28" w:rsidRDefault="00B96D00" w:rsidP="001F4744">
      <w:pPr>
        <w:pStyle w:val="40"/>
        <w:shd w:val="clear" w:color="auto" w:fill="auto"/>
        <w:spacing w:before="0" w:after="0" w:line="276" w:lineRule="auto"/>
        <w:ind w:left="20"/>
      </w:pPr>
      <w:r>
        <w:t>Донецкой Народной Республики от 27.02.2015 г. № 2-22 «О временном</w:t>
      </w:r>
      <w:r>
        <w:br/>
        <w:t xml:space="preserve">порядке применения на территории Донецкой </w:t>
      </w:r>
      <w:r>
        <w:t>Народной Республики</w:t>
      </w:r>
      <w:r>
        <w:br/>
        <w:t>Кодекса Украины об административных правонарушениях»</w:t>
      </w:r>
    </w:p>
    <w:p w:rsidR="001F4744" w:rsidRDefault="001F4744" w:rsidP="001F4744">
      <w:pPr>
        <w:pStyle w:val="40"/>
        <w:shd w:val="clear" w:color="auto" w:fill="auto"/>
        <w:spacing w:before="0" w:after="0" w:line="276" w:lineRule="auto"/>
        <w:ind w:left="20"/>
      </w:pPr>
    </w:p>
    <w:p w:rsidR="001F4744" w:rsidRDefault="001F4744" w:rsidP="001F4744">
      <w:pPr>
        <w:pStyle w:val="40"/>
        <w:shd w:val="clear" w:color="auto" w:fill="auto"/>
        <w:spacing w:before="0" w:after="0" w:line="276" w:lineRule="auto"/>
        <w:ind w:left="20"/>
      </w:pP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600"/>
      </w:pPr>
      <w:r>
        <w:t>С целью регулирования общественных отношений по обеспечению законности в сфере обороны, воинской обязанности и военной службы, а также мобилизационной подготовки и мобилизации, руково</w:t>
      </w:r>
      <w:r>
        <w:t xml:space="preserve">дствуясь статьями 13, 19, 23 </w:t>
      </w:r>
      <w:hyperlink r:id="rId8" w:history="1">
        <w:r w:rsidRPr="00582E00">
          <w:rPr>
            <w:rStyle w:val="a3"/>
          </w:rPr>
          <w:t>Закона Донецкой Народной Республики от 30 ноября 2018 года № 02-</w:t>
        </w:r>
        <w:r w:rsidRPr="00582E00">
          <w:rPr>
            <w:rStyle w:val="a3"/>
            <w:lang w:val="en-US" w:eastAsia="en-US" w:bidi="en-US"/>
          </w:rPr>
          <w:t>II</w:t>
        </w:r>
        <w:r w:rsidRPr="00582E00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1F4744" w:rsidRDefault="001F4744" w:rsidP="001F4744">
      <w:pPr>
        <w:pStyle w:val="22"/>
        <w:shd w:val="clear" w:color="auto" w:fill="auto"/>
        <w:spacing w:before="0" w:after="0" w:line="276" w:lineRule="auto"/>
        <w:ind w:firstLine="600"/>
      </w:pPr>
    </w:p>
    <w:p w:rsidR="00DC3E28" w:rsidRDefault="00B96D00" w:rsidP="001F474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1F4744" w:rsidRDefault="001F4744" w:rsidP="001F474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 Внести изменения в </w:t>
      </w:r>
      <w:hyperlink r:id="rId9" w:history="1">
        <w:r w:rsidRPr="00DE4E97">
          <w:rPr>
            <w:rStyle w:val="a3"/>
          </w:rPr>
          <w:t xml:space="preserve">Постановление Совета Министров </w:t>
        </w:r>
        <w:r w:rsidRPr="00DE4E97">
          <w:rPr>
            <w:rStyle w:val="a3"/>
          </w:rPr>
          <w:t>Донецкой Народной Республики от 27.02.2015 г. № 2-22 «О временном порядке применения на территории Донецкой Народной Республики Кодекса Украины об административных правонарушениях»</w:t>
        </w:r>
      </w:hyperlink>
      <w:bookmarkStart w:id="4" w:name="_GoBack"/>
      <w:bookmarkEnd w:id="4"/>
      <w:r>
        <w:t xml:space="preserve"> следующего содержания: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left="20"/>
        <w:jc w:val="center"/>
      </w:pPr>
      <w:r>
        <w:t>1.1. Дополнить пункт 3 подпунктом 3.6 следующего сод</w:t>
      </w:r>
      <w:r>
        <w:t>ержания: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«3.6. </w:t>
      </w:r>
      <w:proofErr w:type="gramStart"/>
      <w:r>
        <w:t>Предоставить военному комиссару Донецкой Народной Республики, начальникам отделов военного комиссариата Донецкой Народной Республики по районам (городам без районного деления) право рассмотрения дел об административных правонарушениях, ответ</w:t>
      </w:r>
      <w:r>
        <w:t xml:space="preserve">ственность за которые </w:t>
      </w:r>
      <w:r>
        <w:lastRenderedPageBreak/>
        <w:t>предусмотрена статьями: 210 - относительно нарушений военнообязанными или призывниками законодательства о воинской обязанности и военной службе; 210</w:t>
      </w:r>
      <w:r>
        <w:rPr>
          <w:vertAlign w:val="superscript"/>
        </w:rPr>
        <w:t>-1</w:t>
      </w:r>
      <w:r>
        <w:t xml:space="preserve"> - относительно нарушения законодательства о мобилизационной подготовке и мобилизаци</w:t>
      </w:r>
      <w:r>
        <w:t>и;</w:t>
      </w:r>
      <w:proofErr w:type="gramEnd"/>
      <w:r>
        <w:t xml:space="preserve"> 211 - относительно умышленной порчи учетно</w:t>
      </w:r>
      <w:r w:rsidR="001F4744">
        <w:t>-</w:t>
      </w:r>
      <w:r>
        <w:t>военных документов или утраты их по неосторожности; 211</w:t>
      </w:r>
      <w:r>
        <w:rPr>
          <w:vertAlign w:val="superscript"/>
        </w:rPr>
        <w:t>-1</w:t>
      </w:r>
      <w:r>
        <w:t>- относительно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jc w:val="left"/>
      </w:pPr>
      <w:r>
        <w:t>неявки по вызову в военный комиссариат; 211</w:t>
      </w:r>
      <w:r>
        <w:rPr>
          <w:vertAlign w:val="superscript"/>
        </w:rPr>
        <w:t>-2</w:t>
      </w:r>
      <w:r w:rsidR="001F4744">
        <w:t xml:space="preserve">- относительно </w:t>
      </w:r>
      <w:r>
        <w:t>не</w:t>
      </w:r>
      <w:r w:rsidR="001F4744">
        <w:t xml:space="preserve"> </w:t>
      </w:r>
      <w:r>
        <w:t>предоставления в военный комиссариат списков юношей, которые подлежат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</w:pPr>
      <w:r>
        <w:t>приписке к призывным участкам; 211</w:t>
      </w:r>
      <w:r w:rsidR="001F4744" w:rsidRPr="001F4744">
        <w:rPr>
          <w:vertAlign w:val="superscript"/>
        </w:rPr>
        <w:t>-3</w:t>
      </w:r>
      <w:r>
        <w:t xml:space="preserve"> - относительно принятия на работу военнообязанных и призывников, которые не н</w:t>
      </w:r>
      <w:r w:rsidR="001F4744">
        <w:t>аходятся на воинском учете;  211</w:t>
      </w:r>
      <w:r w:rsidR="001F4744" w:rsidRPr="001F4744">
        <w:rPr>
          <w:vertAlign w:val="superscript"/>
        </w:rPr>
        <w:t>-</w:t>
      </w:r>
      <w:r>
        <w:rPr>
          <w:vertAlign w:val="superscript"/>
        </w:rPr>
        <w:t>4</w:t>
      </w:r>
      <w:r>
        <w:t xml:space="preserve"> - относительно не обеспечения уведомления военнообязанных и призывников об их вызове в военные комиссариаты, </w:t>
      </w:r>
      <w:r>
        <w:t>препятствования их с</w:t>
      </w:r>
      <w:r w:rsidR="001F4744">
        <w:t>в</w:t>
      </w:r>
      <w:r>
        <w:t>оевременной явке на сборные пункты или призывные участки; 211</w:t>
      </w:r>
      <w:r w:rsidR="001F4744" w:rsidRPr="001F4744">
        <w:rPr>
          <w:vertAlign w:val="superscript"/>
        </w:rPr>
        <w:t>-</w:t>
      </w:r>
      <w:r>
        <w:rPr>
          <w:vertAlign w:val="superscript"/>
        </w:rPr>
        <w:t>5</w:t>
      </w:r>
      <w:r>
        <w:t>- относительно несвоевременного предоставления документов, необходимых для ведения воинского учета военнообязанных и призывников, не уведомления их о вызове в военные комисса</w:t>
      </w:r>
      <w:r>
        <w:t>риаты; 211</w:t>
      </w:r>
      <w:r w:rsidR="001F4744" w:rsidRPr="001F4744">
        <w:rPr>
          <w:vertAlign w:val="superscript"/>
        </w:rPr>
        <w:t>-</w:t>
      </w:r>
      <w:r>
        <w:rPr>
          <w:vertAlign w:val="superscript"/>
        </w:rPr>
        <w:t>6</w:t>
      </w:r>
      <w:r>
        <w:t xml:space="preserve"> - относительно не предоставления сведений о военнообязанных и призывниках. </w:t>
      </w:r>
      <w:proofErr w:type="gramStart"/>
      <w:r>
        <w:t xml:space="preserve">Установить, что протоколы об административных правонарушениях за совершение нарушений, предусмотренных указанными статьями, составляют уполномоченные военным комиссаром </w:t>
      </w:r>
      <w:r>
        <w:t>Донецкой Народной Республики сотрудники военного комиссариата Донецкой Народной Республики, отделов военного комиссариата Донецкой Народной Республики по районам (городам без районного деления.».</w:t>
      </w:r>
      <w:proofErr w:type="gramEnd"/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780"/>
      </w:pPr>
      <w:r>
        <w:t>1.2. Дополнить пункт 5 абзацем 6 следующего содержания: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780"/>
      </w:pPr>
      <w:r>
        <w:t>«военный комиссариат» - военный комиссариат Донецкой Народной Республики, отделы военного комиссариата Донецкой Народной Республики по районам (городам без районного деления)».</w:t>
      </w:r>
    </w:p>
    <w:p w:rsidR="00DC3E28" w:rsidRDefault="00B96D00" w:rsidP="001F4744">
      <w:pPr>
        <w:pStyle w:val="22"/>
        <w:shd w:val="clear" w:color="auto" w:fill="auto"/>
        <w:spacing w:before="0" w:after="0" w:line="276" w:lineRule="auto"/>
        <w:ind w:firstLine="780"/>
      </w:pPr>
      <w:r>
        <w:t>2. Настоящее Постановление вступает в силу со дня официального опубликования.</w:t>
      </w:r>
    </w:p>
    <w:p w:rsidR="001F4744" w:rsidRDefault="001F4744" w:rsidP="001F4744">
      <w:pPr>
        <w:pStyle w:val="22"/>
        <w:shd w:val="clear" w:color="auto" w:fill="auto"/>
        <w:spacing w:before="0" w:after="0" w:line="276" w:lineRule="auto"/>
        <w:ind w:firstLine="780"/>
      </w:pPr>
    </w:p>
    <w:p w:rsidR="001F4744" w:rsidRDefault="001F4744" w:rsidP="001F4744">
      <w:pPr>
        <w:pStyle w:val="22"/>
        <w:shd w:val="clear" w:color="auto" w:fill="auto"/>
        <w:spacing w:before="0" w:after="0" w:line="276" w:lineRule="auto"/>
        <w:ind w:firstLine="780"/>
      </w:pPr>
    </w:p>
    <w:p w:rsidR="001F4744" w:rsidRDefault="001F4744" w:rsidP="001F4744">
      <w:pPr>
        <w:pStyle w:val="22"/>
        <w:shd w:val="clear" w:color="auto" w:fill="auto"/>
        <w:spacing w:before="0" w:after="0" w:line="276" w:lineRule="auto"/>
        <w:ind w:firstLine="780"/>
      </w:pPr>
    </w:p>
    <w:p w:rsidR="001F4744" w:rsidRDefault="00B96D00" w:rsidP="001F4744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1F4744">
        <w:t xml:space="preserve">                                                    </w:t>
      </w:r>
      <w:r w:rsidR="001F4744">
        <w:rPr>
          <w:rStyle w:val="4Exact"/>
          <w:b/>
          <w:bCs/>
        </w:rPr>
        <w:t>А. Е. Ананченко</w:t>
      </w:r>
    </w:p>
    <w:p w:rsidR="00DC3E28" w:rsidRDefault="00DC3E28" w:rsidP="001F4744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DC3E28" w:rsidSect="001F4744">
      <w:pgSz w:w="11900" w:h="16840"/>
      <w:pgMar w:top="851" w:right="541" w:bottom="190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D00" w:rsidRDefault="00B96D00">
      <w:r>
        <w:separator/>
      </w:r>
    </w:p>
  </w:endnote>
  <w:endnote w:type="continuationSeparator" w:id="0">
    <w:p w:rsidR="00B96D00" w:rsidRDefault="00B9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D00" w:rsidRDefault="00B96D00"/>
  </w:footnote>
  <w:footnote w:type="continuationSeparator" w:id="0">
    <w:p w:rsidR="00B96D00" w:rsidRDefault="00B96D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3E28"/>
    <w:rsid w:val="001F4744"/>
    <w:rsid w:val="00430DB2"/>
    <w:rsid w:val="00582E00"/>
    <w:rsid w:val="00B96D00"/>
    <w:rsid w:val="00DC3E28"/>
    <w:rsid w:val="00DE4E97"/>
    <w:rsid w:val="00EF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6">
    <w:name w:val="Основной текст (6)_"/>
    <w:basedOn w:val="a0"/>
    <w:link w:val="6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11"/>
      <w:szCs w:val="1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8"/>
      <w:szCs w:val="8"/>
    </w:rPr>
  </w:style>
  <w:style w:type="paragraph" w:styleId="a4">
    <w:name w:val="Balloon Text"/>
    <w:basedOn w:val="a"/>
    <w:link w:val="a5"/>
    <w:uiPriority w:val="99"/>
    <w:semiHidden/>
    <w:unhideWhenUsed/>
    <w:rsid w:val="001F474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74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2-22-ot-27-02-2015-g-o-vremennom-poryadke-primeneniya-na-territorii-donetskoj-narodnoj-respubliki-kodeksa-ukrainy-ob-administrativnyh-pravonarush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2019-08-12T11:29:00Z</dcterms:created>
  <dcterms:modified xsi:type="dcterms:W3CDTF">2019-08-12T11:43:00Z</dcterms:modified>
</cp:coreProperties>
</file>