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D7" w:rsidRDefault="003F3E5C" w:rsidP="00197B57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0;width:80.65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C279D7" w:rsidRDefault="00C279D7" w:rsidP="00197B57">
      <w:pPr>
        <w:spacing w:line="276" w:lineRule="auto"/>
      </w:pPr>
    </w:p>
    <w:p w:rsidR="00197B57" w:rsidRDefault="00197B57" w:rsidP="00197B57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197B57" w:rsidRPr="00197B57" w:rsidRDefault="00197B57" w:rsidP="00197B57">
      <w:pPr>
        <w:pStyle w:val="10"/>
        <w:keepNext/>
        <w:keepLines/>
        <w:shd w:val="clear" w:color="auto" w:fill="auto"/>
        <w:spacing w:line="276" w:lineRule="auto"/>
        <w:rPr>
          <w:sz w:val="16"/>
          <w:szCs w:val="16"/>
        </w:rPr>
      </w:pPr>
    </w:p>
    <w:p w:rsidR="00C279D7" w:rsidRDefault="003F3E5C" w:rsidP="00197B57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C279D7" w:rsidRDefault="003F3E5C" w:rsidP="00197B57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197B57" w:rsidRDefault="00197B57" w:rsidP="00197B57">
      <w:pPr>
        <w:pStyle w:val="10"/>
        <w:keepNext/>
        <w:keepLines/>
        <w:shd w:val="clear" w:color="auto" w:fill="auto"/>
        <w:spacing w:line="276" w:lineRule="auto"/>
      </w:pPr>
    </w:p>
    <w:p w:rsidR="00C279D7" w:rsidRDefault="003F3E5C" w:rsidP="00197B57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197B57" w:rsidRDefault="00197B57" w:rsidP="00197B57">
      <w:pPr>
        <w:pStyle w:val="30"/>
        <w:shd w:val="clear" w:color="auto" w:fill="auto"/>
        <w:spacing w:before="0" w:after="0" w:line="276" w:lineRule="auto"/>
      </w:pPr>
    </w:p>
    <w:p w:rsidR="00C279D7" w:rsidRDefault="003F3E5C" w:rsidP="00197B57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07 августа 2019 г. № 21-12</w:t>
      </w:r>
      <w:bookmarkEnd w:id="2"/>
    </w:p>
    <w:p w:rsidR="00197B57" w:rsidRDefault="00197B57" w:rsidP="00197B57">
      <w:pPr>
        <w:pStyle w:val="20"/>
        <w:keepNext/>
        <w:keepLines/>
        <w:shd w:val="clear" w:color="auto" w:fill="auto"/>
        <w:spacing w:before="0" w:after="0" w:line="276" w:lineRule="auto"/>
      </w:pPr>
    </w:p>
    <w:p w:rsidR="00197B57" w:rsidRDefault="00197B57" w:rsidP="00197B57">
      <w:pPr>
        <w:pStyle w:val="20"/>
        <w:keepNext/>
        <w:keepLines/>
        <w:shd w:val="clear" w:color="auto" w:fill="auto"/>
        <w:spacing w:before="0" w:after="0" w:line="276" w:lineRule="auto"/>
      </w:pPr>
    </w:p>
    <w:p w:rsidR="00C279D7" w:rsidRDefault="003F3E5C" w:rsidP="00197B57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Об утверждении Порядка отнесения субъектов хозяйствования</w:t>
      </w:r>
      <w:bookmarkEnd w:id="3"/>
    </w:p>
    <w:p w:rsidR="00C279D7" w:rsidRDefault="003F3E5C" w:rsidP="00197B57">
      <w:pPr>
        <w:pStyle w:val="20"/>
        <w:keepNext/>
        <w:keepLines/>
        <w:shd w:val="clear" w:color="auto" w:fill="auto"/>
        <w:spacing w:before="0" w:after="0" w:line="276" w:lineRule="auto"/>
      </w:pPr>
      <w:r>
        <w:t>к категориям по гражданской обороне</w:t>
      </w:r>
    </w:p>
    <w:p w:rsidR="00197B57" w:rsidRDefault="00197B57" w:rsidP="00197B57">
      <w:pPr>
        <w:pStyle w:val="20"/>
        <w:keepNext/>
        <w:keepLines/>
        <w:shd w:val="clear" w:color="auto" w:fill="auto"/>
        <w:spacing w:before="0" w:after="0" w:line="276" w:lineRule="auto"/>
      </w:pPr>
    </w:p>
    <w:p w:rsidR="00197B57" w:rsidRDefault="00197B57" w:rsidP="00197B57">
      <w:pPr>
        <w:pStyle w:val="20"/>
        <w:keepNext/>
        <w:keepLines/>
        <w:shd w:val="clear" w:color="auto" w:fill="auto"/>
        <w:spacing w:before="0" w:after="0" w:line="276" w:lineRule="auto"/>
      </w:pP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В соответствии с пунктом «к» статьи 9 </w:t>
      </w:r>
      <w:hyperlink r:id="rId9" w:history="1">
        <w:r w:rsidRPr="00195AFA">
          <w:rPr>
            <w:rStyle w:val="a3"/>
          </w:rPr>
          <w:t xml:space="preserve">Закона Донецкой Народной Республики от 13 февраля 2015 года № </w:t>
        </w:r>
        <w:r w:rsidRPr="00195AFA">
          <w:rPr>
            <w:rStyle w:val="a3"/>
            <w:lang w:eastAsia="en-US" w:bidi="en-US"/>
          </w:rPr>
          <w:t>07-</w:t>
        </w:r>
        <w:r w:rsidRPr="00195AFA">
          <w:rPr>
            <w:rStyle w:val="a3"/>
            <w:lang w:val="en-US" w:eastAsia="en-US" w:bidi="en-US"/>
          </w:rPr>
          <w:t>IHC</w:t>
        </w:r>
        <w:r w:rsidRPr="00195AFA">
          <w:rPr>
            <w:rStyle w:val="a3"/>
            <w:lang w:eastAsia="en-US" w:bidi="en-US"/>
          </w:rPr>
          <w:t xml:space="preserve"> </w:t>
        </w:r>
        <w:r w:rsidRPr="00195AFA">
          <w:rPr>
            <w:rStyle w:val="a3"/>
          </w:rPr>
          <w:t>«О гражданской обороне»</w:t>
        </w:r>
      </w:hyperlink>
      <w:r>
        <w:t>, Правительство Донецкой Народной Республики</w:t>
      </w:r>
    </w:p>
    <w:p w:rsidR="00197B57" w:rsidRDefault="00197B57" w:rsidP="00197B57">
      <w:pPr>
        <w:pStyle w:val="22"/>
        <w:shd w:val="clear" w:color="auto" w:fill="auto"/>
        <w:spacing w:before="0" w:after="0" w:line="276" w:lineRule="auto"/>
        <w:ind w:firstLine="760"/>
      </w:pPr>
    </w:p>
    <w:p w:rsidR="00C279D7" w:rsidRDefault="003F3E5C" w:rsidP="00197B57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197B57" w:rsidRDefault="00197B57" w:rsidP="00197B5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C279D7" w:rsidRDefault="003F3E5C" w:rsidP="00197B57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t xml:space="preserve">Утвердить Порядок отнесения субъектов хозяйствования к категориям </w:t>
      </w:r>
      <w:r>
        <w:t>по гражданской обороне (прилагается).</w:t>
      </w:r>
    </w:p>
    <w:p w:rsidR="00C279D7" w:rsidRDefault="003F3E5C" w:rsidP="00197B57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t xml:space="preserve">Признать утратившим силу Постановление Совета Министров Донецкой Народной Республики от 22.07.2015 № 13-1 «Об утверждении Положения о порядке отнесения предприятий, учреждений и организаций к категориям по гражданской </w:t>
      </w:r>
      <w:r>
        <w:t>обороне».</w:t>
      </w:r>
    </w:p>
    <w:p w:rsidR="00C279D7" w:rsidRDefault="003F3E5C" w:rsidP="00197B57">
      <w:pPr>
        <w:pStyle w:val="22"/>
        <w:numPr>
          <w:ilvl w:val="0"/>
          <w:numId w:val="1"/>
        </w:numPr>
        <w:shd w:val="clear" w:color="auto" w:fill="auto"/>
        <w:tabs>
          <w:tab w:val="left" w:pos="1130"/>
        </w:tabs>
        <w:spacing w:before="120" w:after="0" w:line="276" w:lineRule="auto"/>
        <w:ind w:firstLine="760"/>
      </w:pPr>
      <w:r>
        <w:t>Настоящее Постановление вступает в силу со дня официального опубликования.</w:t>
      </w:r>
    </w:p>
    <w:p w:rsidR="00197B57" w:rsidRDefault="00197B57" w:rsidP="00197B57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197B57" w:rsidRDefault="00197B57" w:rsidP="00197B57">
      <w:pPr>
        <w:pStyle w:val="22"/>
        <w:shd w:val="clear" w:color="auto" w:fill="auto"/>
        <w:tabs>
          <w:tab w:val="left" w:pos="1130"/>
        </w:tabs>
        <w:spacing w:before="0" w:after="0" w:line="276" w:lineRule="auto"/>
      </w:pPr>
    </w:p>
    <w:p w:rsidR="00197B57" w:rsidRDefault="003F3E5C" w:rsidP="00197B57">
      <w:pPr>
        <w:pStyle w:val="40"/>
        <w:shd w:val="clear" w:color="auto" w:fill="auto"/>
        <w:spacing w:line="280" w:lineRule="exact"/>
      </w:pPr>
      <w:bookmarkStart w:id="5" w:name="bookmark5"/>
      <w:r>
        <w:t>Председатель Правительства</w:t>
      </w:r>
      <w:bookmarkEnd w:id="5"/>
      <w:r w:rsidR="00197B57">
        <w:t xml:space="preserve">                                                     </w:t>
      </w:r>
      <w:r w:rsidR="00197B57">
        <w:rPr>
          <w:rStyle w:val="4Exact"/>
          <w:b/>
          <w:bCs/>
        </w:rPr>
        <w:t>А.</w:t>
      </w:r>
      <w:r w:rsidR="00197B57" w:rsidRPr="00197B57">
        <w:rPr>
          <w:rStyle w:val="4Exact"/>
          <w:b/>
          <w:bCs/>
          <w:lang w:eastAsia="en-US" w:bidi="en-US"/>
        </w:rPr>
        <w:t xml:space="preserve"> </w:t>
      </w:r>
      <w:r w:rsidR="00197B57">
        <w:rPr>
          <w:rStyle w:val="4Exact"/>
          <w:b/>
          <w:bCs/>
        </w:rPr>
        <w:t>Е. Ананченко</w:t>
      </w:r>
    </w:p>
    <w:p w:rsidR="00197B57" w:rsidRDefault="00197B57" w:rsidP="00197B57">
      <w:pPr>
        <w:pStyle w:val="22"/>
        <w:shd w:val="clear" w:color="auto" w:fill="auto"/>
        <w:spacing w:before="0" w:after="0" w:line="276" w:lineRule="auto"/>
        <w:ind w:left="5529"/>
      </w:pPr>
    </w:p>
    <w:p w:rsidR="00197B57" w:rsidRDefault="00197B57" w:rsidP="00197B57">
      <w:pPr>
        <w:pStyle w:val="22"/>
        <w:shd w:val="clear" w:color="auto" w:fill="auto"/>
        <w:spacing w:before="0" w:after="0" w:line="276" w:lineRule="auto"/>
        <w:ind w:left="5529"/>
      </w:pPr>
    </w:p>
    <w:p w:rsidR="00197B57" w:rsidRDefault="00197B57" w:rsidP="00197B57">
      <w:pPr>
        <w:pStyle w:val="22"/>
        <w:shd w:val="clear" w:color="auto" w:fill="auto"/>
        <w:spacing w:before="0" w:after="0" w:line="276" w:lineRule="auto"/>
        <w:ind w:left="5529"/>
      </w:pPr>
    </w:p>
    <w:p w:rsidR="00197B57" w:rsidRDefault="00197B57" w:rsidP="00197B57">
      <w:pPr>
        <w:pStyle w:val="22"/>
        <w:shd w:val="clear" w:color="auto" w:fill="auto"/>
        <w:spacing w:before="0" w:after="0" w:line="276" w:lineRule="auto"/>
        <w:ind w:left="5529"/>
      </w:pPr>
    </w:p>
    <w:p w:rsidR="00197B57" w:rsidRDefault="00197B57" w:rsidP="00197B57">
      <w:pPr>
        <w:pStyle w:val="22"/>
        <w:shd w:val="clear" w:color="auto" w:fill="auto"/>
        <w:spacing w:before="0" w:after="0" w:line="276" w:lineRule="auto"/>
        <w:ind w:left="5529"/>
      </w:pP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left="5529"/>
      </w:pPr>
      <w:r>
        <w:t>УТВЕРЖДЕН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left="5529"/>
      </w:pPr>
      <w:r>
        <w:t>Постановлением Правительства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left="5529"/>
      </w:pPr>
      <w:r>
        <w:t>Донецкой Народной Республики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left="5529"/>
      </w:pPr>
      <w:r>
        <w:t>от 07 августа 2019 г. № 21-12</w:t>
      </w:r>
    </w:p>
    <w:p w:rsidR="00197B57" w:rsidRDefault="00197B57" w:rsidP="00197B57">
      <w:pPr>
        <w:pStyle w:val="221"/>
        <w:keepNext/>
        <w:keepLines/>
        <w:shd w:val="clear" w:color="auto" w:fill="auto"/>
        <w:spacing w:before="0" w:after="0" w:line="276" w:lineRule="auto"/>
      </w:pPr>
      <w:bookmarkStart w:id="6" w:name="bookmark6"/>
    </w:p>
    <w:p w:rsidR="00197B57" w:rsidRDefault="00197B57" w:rsidP="00197B57">
      <w:pPr>
        <w:pStyle w:val="221"/>
        <w:keepNext/>
        <w:keepLines/>
        <w:shd w:val="clear" w:color="auto" w:fill="auto"/>
        <w:spacing w:before="0" w:after="0" w:line="276" w:lineRule="auto"/>
      </w:pPr>
    </w:p>
    <w:p w:rsidR="00C279D7" w:rsidRDefault="003F3E5C" w:rsidP="00197B57">
      <w:pPr>
        <w:pStyle w:val="221"/>
        <w:keepNext/>
        <w:keepLines/>
        <w:shd w:val="clear" w:color="auto" w:fill="auto"/>
        <w:spacing w:before="0" w:after="0" w:line="276" w:lineRule="auto"/>
      </w:pPr>
      <w:r>
        <w:t>ПОРЯДОК</w:t>
      </w:r>
      <w:bookmarkEnd w:id="6"/>
    </w:p>
    <w:p w:rsidR="00197B57" w:rsidRDefault="003F3E5C" w:rsidP="00197B57">
      <w:pPr>
        <w:pStyle w:val="40"/>
        <w:shd w:val="clear" w:color="auto" w:fill="auto"/>
        <w:spacing w:line="276" w:lineRule="auto"/>
        <w:jc w:val="center"/>
      </w:pPr>
      <w:r>
        <w:t xml:space="preserve">отнесения субъектов хозяйствования </w:t>
      </w:r>
    </w:p>
    <w:p w:rsidR="00C279D7" w:rsidRDefault="003F3E5C" w:rsidP="00197B57">
      <w:pPr>
        <w:pStyle w:val="40"/>
        <w:shd w:val="clear" w:color="auto" w:fill="auto"/>
        <w:spacing w:line="276" w:lineRule="auto"/>
        <w:jc w:val="center"/>
      </w:pPr>
      <w:r>
        <w:t>к категориям по гражданской обороне</w:t>
      </w:r>
    </w:p>
    <w:p w:rsidR="00197B57" w:rsidRDefault="00197B57" w:rsidP="00197B57">
      <w:pPr>
        <w:pStyle w:val="40"/>
        <w:shd w:val="clear" w:color="auto" w:fill="auto"/>
        <w:spacing w:line="276" w:lineRule="auto"/>
        <w:ind w:left="2460" w:right="2460"/>
      </w:pP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 xml:space="preserve">Порядок отнесения субъектов хозяйствования к категориям </w:t>
      </w:r>
      <w:proofErr w:type="gramStart"/>
      <w:r>
        <w:t>по</w:t>
      </w:r>
      <w:proofErr w:type="gramEnd"/>
      <w:r>
        <w:t xml:space="preserve"> гражданской обороне определяет механизм отнесения субъектов хозяйствования, независимо от их организационно-правовых ф</w:t>
      </w:r>
      <w:r>
        <w:t>орм и форм собственности, а также входящих в их состав отдельных субъектов (далее - объекты) к категориям по гражданской обороне.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Действие настоящего Порядка не распространяется на воинские части, предприятия, учреждения и организации Вооруженных Сил Донец</w:t>
      </w:r>
      <w:r>
        <w:t>кой Народной Республики.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Отнесение объектов к категориям по гражданской обороне осуществляется с целью их сохранения и защиты их персонала от опасностей, возникающих при ведении или вследствие военных действий, путем заблаговременной разработки и реализаци</w:t>
      </w:r>
      <w:r>
        <w:t>и мероприятий по гражданской обороне.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Отнесению к категориям по гражданской обороне подлежат действующие, реконструируемые, технически перевооружаемые, строящиеся и проектируемые объекты: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имеющие</w:t>
      </w:r>
      <w:proofErr w:type="gramEnd"/>
      <w:r>
        <w:t xml:space="preserve"> мобилизационное задание (заказ);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представляющие высокую степ</w:t>
      </w:r>
      <w:r>
        <w:t>ень потенциальной опасности возникновения чрезвычайных ситуаций в военное и мирное время;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на балансе или в оперативном управлении </w:t>
      </w:r>
      <w:proofErr w:type="gramStart"/>
      <w:r>
        <w:t>которых</w:t>
      </w:r>
      <w:proofErr w:type="gramEnd"/>
      <w:r>
        <w:t xml:space="preserve"> находятся объекты культурного наследия.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Для объектов устанавливаются следующие категории по гражданской обороне: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особой важности;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первая;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вторая.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Отнесение объектов к категориям по гражданской обороне производится в зависимости от показателей, определяющих их роль в</w:t>
      </w:r>
      <w:r w:rsidR="00197B57">
        <w:t xml:space="preserve"> </w:t>
      </w:r>
      <w:r>
        <w:lastRenderedPageBreak/>
        <w:t xml:space="preserve">экономике и культуре Донецкой Народной Республики, а также особых условий, </w:t>
      </w:r>
      <w:r>
        <w:t>характеризующих: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степень потенциальной опасности возникновения чрезвычайных ситуаций;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месторасположение объекта;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значимость объекта как объекта культурного наследия.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>Показателями для отнесения объектов к категориям по гражданской обороне являются: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численность </w:t>
      </w:r>
      <w:proofErr w:type="gramStart"/>
      <w:r>
        <w:t>работающих</w:t>
      </w:r>
      <w:proofErr w:type="gramEnd"/>
      <w:r>
        <w:t xml:space="preserve"> (общая, наибольшей работающей смены) в военное время;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объем выпускаемой продукции (работ, услуг) для нужд Донецкой Народной Республики в военное время.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 xml:space="preserve">Критерии для отнесения объектов к категориям по гражданской обороне определены в </w:t>
      </w:r>
      <w:r>
        <w:t>приложении 1 к настоящему Порядку.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Дополнительные критерии для отнесения объектов к категориям по гражданской обороне устанавливает Министерство по делам гражданской обороны, чрезвычайным ситуациям и ликвидации последствий стихийных бедствий Донецкой Народ</w:t>
      </w:r>
      <w:r>
        <w:t>ной Республики с участием Министерства экономического развития Донецкой Народной Республики и по согласованию с заинтересованными органами исполнительной власти.</w:t>
      </w:r>
    </w:p>
    <w:p w:rsidR="00C279D7" w:rsidRDefault="003F3E5C" w:rsidP="00197B57">
      <w:pPr>
        <w:pStyle w:val="22"/>
        <w:shd w:val="clear" w:color="auto" w:fill="auto"/>
        <w:spacing w:before="0" w:after="0" w:line="276" w:lineRule="auto"/>
        <w:ind w:firstLine="740"/>
      </w:pPr>
      <w:r>
        <w:t>В случаях расположения административно-хозяйственных органов объектов и их производственных по</w:t>
      </w:r>
      <w:r>
        <w:t>дразделений или объектов культурного наследия в разных административно-территориальных единицах Донецкой Народной Республики категория по гражданской обороне устанавливается только для соответствующего объекта.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128"/>
        </w:tabs>
        <w:spacing w:before="0" w:after="0" w:line="276" w:lineRule="auto"/>
        <w:ind w:firstLine="740"/>
      </w:pPr>
      <w:r>
        <w:t>Объекты, деятельность которых связана с деяте</w:t>
      </w:r>
      <w:r>
        <w:t>льностью органов исполнительной власти, или которые находятся в сфере их ведения, представляют сведения о показателях для отнесения их к категориям по гражданской обороне и предложения об установлении категории в соответствующий республиканский орган испол</w:t>
      </w:r>
      <w:r>
        <w:t>нительной власти.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40"/>
      </w:pPr>
      <w:r>
        <w:t>Объекты, деятельность которых связана с деятельностью органов местного самоуправления или которые находятся в сфере их ведения, представляют в соответствующий орган местного самоуправления сведения о показателях для отнесения их к категор</w:t>
      </w:r>
      <w:r>
        <w:t>иям по гражданской обороне и предложения об установлении им категории.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279"/>
        </w:tabs>
        <w:spacing w:before="0" w:after="0" w:line="276" w:lineRule="auto"/>
        <w:ind w:firstLine="740"/>
      </w:pPr>
      <w:proofErr w:type="gramStart"/>
      <w:r>
        <w:t xml:space="preserve">Органы местного самоуправления разрабатывают предложения по отнесению объектов, деятельность которых связана с деятельностью соответствующих органов местного самоуправления или которые </w:t>
      </w:r>
      <w:r>
        <w:t xml:space="preserve">находятся в сфере их ведения, к категориям по гражданской обороне, согласовывают </w:t>
      </w:r>
      <w:r>
        <w:lastRenderedPageBreak/>
        <w:t>предложения с соответствующими территориальными органами Министерства по делам гражданской обороны, чрезвычайным ситуациям и ликвидации последствий стихийных бедствий Донецкой</w:t>
      </w:r>
      <w:r>
        <w:t xml:space="preserve"> Народной Республики и представляют их, по мере необходимости, но не реже одного</w:t>
      </w:r>
      <w:proofErr w:type="gramEnd"/>
      <w:r>
        <w:t xml:space="preserve"> раза в три года по прилагаемой форме (приложение 2) в Министерство по делам гражданской обороны, чрезвычайным ситуациям и ликвидации последствий стихийных бедствий Донецкой На</w:t>
      </w:r>
      <w:r>
        <w:t>родной Республики.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proofErr w:type="gramStart"/>
      <w:r>
        <w:t>Органы исполнительной власти разрабатывают предложения по отнесению объектов, деятельность которых связана с деятельностью этих органов власти или которые находятся в сфере их ведения, к категориям по гражданской обороне и представляют и</w:t>
      </w:r>
      <w:r>
        <w:t>х, по мере необходимости, но не реже одного раза в три года по прилагаемой форме (приложение 2) в Министерство по делам гражданской обороны, чрезвычайным ситуациям и ликвидации последствий стихийных бедствий</w:t>
      </w:r>
      <w:proofErr w:type="gramEnd"/>
      <w:r>
        <w:t xml:space="preserve"> Донецкой Народной Республики.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proofErr w:type="gramStart"/>
      <w:r>
        <w:t>Министерство по де</w:t>
      </w:r>
      <w:r>
        <w:t>лам гражданской обороны, чрезвычайным ситуациям и ликвидации последствий стихийных бедствий Донецкой Народной Республики на основании предложений, поданных органами исполнительной власти и органами местного самоуправления, разрабатывает проект перечня объе</w:t>
      </w:r>
      <w:r>
        <w:t>ктов, отнесенных к категориям по гражданской обороне по прилагаемой форме (приложение 3), согласовывает его с Министерством экономического развития Донецкой Народной Республики и предоставляет для утверждения в Правительство Донецкой Народной Республики.</w:t>
      </w:r>
      <w:proofErr w:type="gramEnd"/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У</w:t>
      </w:r>
      <w:r>
        <w:t>точнение перечня объектов, отнесенных к категориям по гражданской обороне, осуществляется Правительством Донецкой Народной Республики по мере необходимости, но не реже одного раза в три года, по представлению Министерства по делам гражданской обороны, чрез</w:t>
      </w:r>
      <w:r>
        <w:t>вычайным ситуациям и ликвидации последствий стихийных бедствий Донецкой Народной Республики.</w:t>
      </w:r>
    </w:p>
    <w:p w:rsidR="00C279D7" w:rsidRDefault="003F3E5C" w:rsidP="00197B57">
      <w:pPr>
        <w:pStyle w:val="22"/>
        <w:numPr>
          <w:ilvl w:val="0"/>
          <w:numId w:val="2"/>
        </w:numPr>
        <w:shd w:val="clear" w:color="auto" w:fill="auto"/>
        <w:tabs>
          <w:tab w:val="left" w:pos="1280"/>
        </w:tabs>
        <w:spacing w:before="0" w:after="0" w:line="276" w:lineRule="auto"/>
        <w:ind w:firstLine="760"/>
      </w:pPr>
      <w:r>
        <w:t>Объектам сведения о присвоении им категорий по гражданской обороне сообщаются соответствующими органами местного самоуправления или органами исполнительной власти,</w:t>
      </w:r>
      <w:r>
        <w:t xml:space="preserve"> в ведении которых находятся данные объекты.</w:t>
      </w:r>
      <w:r w:rsidR="00197B57">
        <w:t xml:space="preserve">  </w:t>
      </w:r>
    </w:p>
    <w:p w:rsidR="00197B57" w:rsidRDefault="00197B57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197B57" w:rsidRDefault="00197B57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197B57" w:rsidRDefault="00197B57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197B57" w:rsidRDefault="00197B57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197B57" w:rsidRDefault="00197B57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FA60EC" w:rsidRDefault="00FA60EC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FA60EC" w:rsidRDefault="00FA60EC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</w:p>
    <w:p w:rsidR="00FA60EC" w:rsidRDefault="00FA60EC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  <w:sectPr w:rsidR="00FA60EC" w:rsidSect="00197B57">
          <w:headerReference w:type="default" r:id="rId10"/>
          <w:pgSz w:w="11900" w:h="16840"/>
          <w:pgMar w:top="851" w:right="533" w:bottom="1330" w:left="1666" w:header="0" w:footer="3" w:gutter="0"/>
          <w:pgNumType w:start="2"/>
          <w:cols w:space="720"/>
          <w:noEndnote/>
          <w:docGrid w:linePitch="360"/>
        </w:sectPr>
      </w:pPr>
    </w:p>
    <w:p w:rsidR="00FA60EC" w:rsidRDefault="00FA60EC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303385" cy="5932805"/>
            <wp:effectExtent l="0" t="0" r="0" b="0"/>
            <wp:docPr id="1" name="Рисунок 1" descr="C:\Users\user\Desktop\доки\постановления совета министров\12.08\П 21-12\Postanov_N21_12_07082019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2.08\П 21-12\Postanov_N21_12_07082019_Page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385" cy="593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03385" cy="6124575"/>
            <wp:effectExtent l="0" t="0" r="0" b="0"/>
            <wp:docPr id="2" name="Рисунок 2" descr="C:\Users\user\Desktop\доки\постановления совета министров\12.08\П 21-12\Postanov_N21_12_07082019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8\П 21-12\Postanov_N21_12_07082019_Page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385" cy="612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03385" cy="6156325"/>
            <wp:effectExtent l="0" t="0" r="0" b="0"/>
            <wp:docPr id="3" name="Рисунок 3" descr="C:\Users\user\Desktop\доки\постановления совета министров\12.08\П 21-12\Postanov_N21_12_07082019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8\П 21-12\Postanov_N21_12_07082019_Page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385" cy="615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03385" cy="5880100"/>
            <wp:effectExtent l="0" t="0" r="0" b="0"/>
            <wp:docPr id="4" name="Рисунок 4" descr="C:\Users\user\Desktop\доки\постановления совета министров\12.08\П 21-12\Postanov_N21_12_07082019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2.08\П 21-12\Postanov_N21_12_07082019_Page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385" cy="588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186545" cy="4805680"/>
            <wp:effectExtent l="0" t="0" r="0" b="0"/>
            <wp:docPr id="5" name="Рисунок 5" descr="C:\Users\user\Desktop\доки\постановления совета министров\12.08\П 21-12\Postanov_N21_12_07082019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2.08\П 21-12\Postanov_N21_12_07082019_Page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6545" cy="480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8931275" cy="6156325"/>
            <wp:effectExtent l="0" t="0" r="0" b="0"/>
            <wp:docPr id="6" name="Рисунок 6" descr="C:\Users\user\Desktop\доки\постановления совета министров\12.08\П 21-12\Postanov_N21_12_07082019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2.08\П 21-12\Postanov_N21_12_07082019_Page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1275" cy="615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0EC" w:rsidRDefault="00FA60EC" w:rsidP="00197B57">
      <w:pPr>
        <w:pStyle w:val="22"/>
        <w:shd w:val="clear" w:color="auto" w:fill="auto"/>
        <w:tabs>
          <w:tab w:val="left" w:pos="1280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303385" cy="2573020"/>
            <wp:effectExtent l="0" t="0" r="0" b="0"/>
            <wp:docPr id="7" name="Рисунок 7" descr="C:\Users\user\Desktop\доки\постановления совета министров\12.08\П 21-12\Postanov_N21_12_07082019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12.08\П 21-12\Postanov_N21_12_07082019_Page1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385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282430" cy="6156325"/>
            <wp:effectExtent l="0" t="0" r="0" b="0"/>
            <wp:docPr id="8" name="Рисунок 8" descr="C:\Users\user\Desktop\доки\постановления совета министров\12.08\П 21-12\Postanov_N21_12_07082019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доки\постановления совета министров\12.08\П 21-12\Postanov_N21_12_07082019_Page1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2430" cy="615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303385" cy="3923665"/>
            <wp:effectExtent l="0" t="0" r="0" b="0"/>
            <wp:docPr id="9" name="Рисунок 9" descr="C:\Users\user\Desktop\доки\постановления совета министров\12.08\П 21-12\Postanov_N21_12_07082019_Page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доки\постановления совета министров\12.08\П 21-12\Postanov_N21_12_07082019_Page1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385" cy="392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7" w:name="_GoBack"/>
      <w:bookmarkEnd w:id="7"/>
    </w:p>
    <w:sectPr w:rsidR="00FA60EC" w:rsidSect="00FA60EC">
      <w:pgSz w:w="16840" w:h="11900" w:orient="landscape"/>
      <w:pgMar w:top="1667" w:right="851" w:bottom="533" w:left="1332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5C" w:rsidRDefault="003F3E5C">
      <w:r>
        <w:separator/>
      </w:r>
    </w:p>
  </w:endnote>
  <w:endnote w:type="continuationSeparator" w:id="0">
    <w:p w:rsidR="003F3E5C" w:rsidRDefault="003F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5C" w:rsidRDefault="003F3E5C"/>
  </w:footnote>
  <w:footnote w:type="continuationSeparator" w:id="0">
    <w:p w:rsidR="003F3E5C" w:rsidRDefault="003F3E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9D7" w:rsidRDefault="003F3E5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65.3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279D7" w:rsidRDefault="003F3E5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A60EC" w:rsidRPr="00FA60EC">
                  <w:rPr>
                    <w:rStyle w:val="a6"/>
                    <w:noProof/>
                  </w:rPr>
                  <w:t>10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B199E"/>
    <w:multiLevelType w:val="multilevel"/>
    <w:tmpl w:val="F5A8D8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845C7F"/>
    <w:multiLevelType w:val="multilevel"/>
    <w:tmpl w:val="6D4EA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279D7"/>
    <w:rsid w:val="00195AFA"/>
    <w:rsid w:val="00197B57"/>
    <w:rsid w:val="003F3E5C"/>
    <w:rsid w:val="00C279D7"/>
    <w:rsid w:val="00FA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before="138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A60E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0E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7-ihc-o-grazhdanskoj-oborone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2019-08-12T11:57:00Z</dcterms:created>
  <dcterms:modified xsi:type="dcterms:W3CDTF">2019-08-12T12:14:00Z</dcterms:modified>
</cp:coreProperties>
</file>