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75" w:rsidRDefault="00CC0A26" w:rsidP="000F54D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84175" w:rsidRDefault="00C84175" w:rsidP="000F54D9">
      <w:pPr>
        <w:spacing w:line="276" w:lineRule="auto"/>
      </w:pPr>
    </w:p>
    <w:p w:rsidR="0065279A" w:rsidRDefault="0065279A" w:rsidP="000F54D9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65279A" w:rsidRPr="00E86D33" w:rsidRDefault="0065279A" w:rsidP="000F54D9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C84175" w:rsidRDefault="00CC0A26" w:rsidP="000F54D9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C84175" w:rsidRDefault="00CC0A26" w:rsidP="000F54D9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ДОНЕЦКАЯ НАРОДНАЯ РЕСПУБЛИКА</w:t>
      </w:r>
      <w:bookmarkEnd w:id="1"/>
    </w:p>
    <w:p w:rsidR="0065279A" w:rsidRDefault="0065279A" w:rsidP="000F54D9">
      <w:pPr>
        <w:pStyle w:val="10"/>
        <w:keepNext/>
        <w:keepLines/>
        <w:shd w:val="clear" w:color="auto" w:fill="auto"/>
        <w:spacing w:after="0" w:line="276" w:lineRule="auto"/>
      </w:pPr>
    </w:p>
    <w:p w:rsidR="00C84175" w:rsidRDefault="00CC0A26" w:rsidP="000F54D9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65279A" w:rsidRPr="00E86D33" w:rsidRDefault="0065279A" w:rsidP="000F54D9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C84175" w:rsidRDefault="00CC0A26" w:rsidP="000F54D9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07 августа 2019 г. № 21-9</w:t>
      </w:r>
      <w:bookmarkEnd w:id="2"/>
    </w:p>
    <w:p w:rsidR="0065279A" w:rsidRDefault="0065279A" w:rsidP="000F54D9">
      <w:pPr>
        <w:pStyle w:val="20"/>
        <w:keepNext/>
        <w:keepLines/>
        <w:shd w:val="clear" w:color="auto" w:fill="auto"/>
        <w:spacing w:before="0" w:after="0" w:line="276" w:lineRule="auto"/>
      </w:pPr>
    </w:p>
    <w:p w:rsidR="0065279A" w:rsidRDefault="0065279A" w:rsidP="000F54D9">
      <w:pPr>
        <w:pStyle w:val="20"/>
        <w:keepNext/>
        <w:keepLines/>
        <w:shd w:val="clear" w:color="auto" w:fill="auto"/>
        <w:spacing w:before="0" w:after="0" w:line="276" w:lineRule="auto"/>
      </w:pPr>
    </w:p>
    <w:p w:rsidR="00C84175" w:rsidRDefault="00CC0A26" w:rsidP="000F54D9">
      <w:pPr>
        <w:pStyle w:val="40"/>
        <w:shd w:val="clear" w:color="auto" w:fill="auto"/>
        <w:spacing w:before="0" w:after="0" w:line="276" w:lineRule="auto"/>
      </w:pPr>
      <w:r>
        <w:t>О внесении изменений в Типовой Порядок обеспечения</w:t>
      </w:r>
      <w:r>
        <w:br/>
        <w:t>техническими и другими средствами реабилитации</w:t>
      </w:r>
      <w:r>
        <w:br/>
        <w:t xml:space="preserve">инвалидов, детей-инвалидов и других </w:t>
      </w:r>
      <w:r>
        <w:t>отдельных категорий населения,</w:t>
      </w:r>
      <w:r>
        <w:br/>
        <w:t>утвержденный Постановлением Совета Министров</w:t>
      </w:r>
      <w:r>
        <w:br/>
        <w:t>Донецкой Народной Республики от 10 января 2015 года № 1-29</w:t>
      </w:r>
    </w:p>
    <w:p w:rsidR="0065279A" w:rsidRDefault="0065279A" w:rsidP="000F54D9">
      <w:pPr>
        <w:pStyle w:val="40"/>
        <w:shd w:val="clear" w:color="auto" w:fill="auto"/>
        <w:spacing w:before="0" w:after="0" w:line="276" w:lineRule="auto"/>
      </w:pPr>
    </w:p>
    <w:p w:rsidR="0065279A" w:rsidRDefault="0065279A" w:rsidP="000F54D9">
      <w:pPr>
        <w:pStyle w:val="40"/>
        <w:shd w:val="clear" w:color="auto" w:fill="auto"/>
        <w:spacing w:before="0" w:after="0" w:line="276" w:lineRule="auto"/>
      </w:pP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Во исполнение статьи 10 </w:t>
      </w:r>
      <w:hyperlink r:id="rId9" w:history="1">
        <w:r w:rsidRPr="00830CC6">
          <w:rPr>
            <w:rStyle w:val="a3"/>
          </w:rPr>
          <w:t xml:space="preserve">Закона Донецкой Народной Республики от 15 мая 2015 г. № </w:t>
        </w:r>
        <w:r w:rsidRPr="00830CC6">
          <w:rPr>
            <w:rStyle w:val="a3"/>
            <w:lang w:eastAsia="en-US" w:bidi="en-US"/>
          </w:rPr>
          <w:t>48-</w:t>
        </w:r>
        <w:r w:rsidRPr="00830CC6">
          <w:rPr>
            <w:rStyle w:val="a3"/>
            <w:lang w:val="en-US" w:eastAsia="en-US" w:bidi="en-US"/>
          </w:rPr>
          <w:t>IHC</w:t>
        </w:r>
        <w:r w:rsidRPr="00830CC6">
          <w:rPr>
            <w:rStyle w:val="a3"/>
            <w:lang w:eastAsia="en-US" w:bidi="en-US"/>
          </w:rPr>
          <w:t xml:space="preserve"> </w:t>
        </w:r>
        <w:r w:rsidRPr="00830CC6">
          <w:rPr>
            <w:rStyle w:val="a3"/>
          </w:rPr>
          <w:t>«О социальной защите инвалидов»</w:t>
        </w:r>
      </w:hyperlink>
      <w:r>
        <w:t xml:space="preserve">, </w:t>
      </w:r>
      <w:hyperlink r:id="rId10" w:history="1">
        <w:r w:rsidRPr="00AA5A9D">
          <w:rPr>
            <w:rStyle w:val="a3"/>
          </w:rPr>
          <w:t>У</w:t>
        </w:r>
        <w:r w:rsidRPr="00AA5A9D">
          <w:rPr>
            <w:rStyle w:val="a3"/>
          </w:rPr>
          <w:t>каза Главы Донецкой Народной Республики от 17 декабря 2014 г. № 47-2 «Об обеспечении техническими и другими средствами реабилитации инвалидов, детей-инвалидов и других отдельных категорий населения»</w:t>
        </w:r>
      </w:hyperlink>
      <w:r>
        <w:t xml:space="preserve"> и урегулирования механизма обеспечения техническими и дру</w:t>
      </w:r>
      <w:r>
        <w:t>гими средствами реабилитации инвалидов, детей-инвалидов и других отдельных категорий населения в</w:t>
      </w:r>
      <w:proofErr w:type="gramEnd"/>
      <w:r>
        <w:t xml:space="preserve"> Донецкой Народной Республике, Правительство Донецкой Народной Республики</w:t>
      </w:r>
    </w:p>
    <w:p w:rsidR="00E86D33" w:rsidRDefault="00E86D33" w:rsidP="000F54D9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</w:p>
    <w:p w:rsidR="00C84175" w:rsidRDefault="00CC0A26" w:rsidP="000F54D9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3"/>
    </w:p>
    <w:p w:rsidR="00E86D33" w:rsidRDefault="00E86D33" w:rsidP="000F54D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84175" w:rsidRDefault="00CC0A26" w:rsidP="000F54D9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 xml:space="preserve">Утвердить изменения в </w:t>
      </w:r>
      <w:hyperlink r:id="rId11" w:history="1">
        <w:r w:rsidRPr="00481A3A">
          <w:rPr>
            <w:rStyle w:val="a3"/>
          </w:rPr>
          <w:t>Типовой Порядок обеспечения техническими и другими</w:t>
        </w:r>
        <w:r w:rsidRPr="00481A3A">
          <w:rPr>
            <w:rStyle w:val="a3"/>
          </w:rPr>
          <w:t xml:space="preserve"> средствами реабилитации инвалидов, дете</w:t>
        </w:r>
        <w:proofErr w:type="gramStart"/>
        <w:r w:rsidRPr="00481A3A">
          <w:rPr>
            <w:rStyle w:val="a3"/>
          </w:rPr>
          <w:t>й-</w:t>
        </w:r>
        <w:proofErr w:type="gramEnd"/>
        <w:r w:rsidRPr="00481A3A">
          <w:rPr>
            <w:rStyle w:val="a3"/>
          </w:rPr>
          <w:t xml:space="preserve"> инвалидов и других отдельных категорий населения, утвержденный Постановлением Совета Министров Донецкой Народной Республики от 10 января 2015 года№ 1-29</w:t>
        </w:r>
      </w:hyperlink>
      <w:r>
        <w:t xml:space="preserve"> (прилагается).</w:t>
      </w:r>
    </w:p>
    <w:p w:rsidR="00C84175" w:rsidRDefault="00CC0A26" w:rsidP="000F54D9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Настоящее Постановление вступает в силу со дн</w:t>
      </w:r>
      <w:r>
        <w:t>я официального опубликования.</w:t>
      </w:r>
    </w:p>
    <w:p w:rsidR="00E86D33" w:rsidRDefault="00E86D33" w:rsidP="000F54D9">
      <w:pPr>
        <w:pStyle w:val="22"/>
        <w:shd w:val="clear" w:color="auto" w:fill="auto"/>
        <w:tabs>
          <w:tab w:val="left" w:pos="1414"/>
        </w:tabs>
        <w:spacing w:before="0" w:after="0" w:line="276" w:lineRule="auto"/>
      </w:pPr>
    </w:p>
    <w:p w:rsidR="00E86D33" w:rsidRDefault="00CC0A26" w:rsidP="000F54D9">
      <w:pPr>
        <w:pStyle w:val="40"/>
        <w:shd w:val="clear" w:color="auto" w:fill="auto"/>
        <w:spacing w:before="0" w:after="0" w:line="276" w:lineRule="auto"/>
        <w:jc w:val="left"/>
      </w:pPr>
      <w:bookmarkStart w:id="4" w:name="bookmark4"/>
      <w:r>
        <w:t>Председатель Правительства</w:t>
      </w:r>
      <w:bookmarkEnd w:id="4"/>
      <w:r w:rsidR="00E86D33">
        <w:t xml:space="preserve">                                                   </w:t>
      </w:r>
      <w:r w:rsidR="00E86D33">
        <w:rPr>
          <w:rStyle w:val="4Exact"/>
          <w:b/>
          <w:bCs/>
        </w:rPr>
        <w:t>А. Е. Ананченко</w:t>
      </w:r>
    </w:p>
    <w:p w:rsidR="00E86D33" w:rsidRDefault="00E86D33" w:rsidP="000F54D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left="5700"/>
      </w:pPr>
      <w:r>
        <w:t>УТВЕРЖДЕНЫ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left="5700"/>
      </w:pPr>
      <w:r>
        <w:t>Постановлением Правительства Донецкой Народной Республики от 07 августа 2019 г. № 21-9</w:t>
      </w:r>
    </w:p>
    <w:p w:rsidR="000F54D9" w:rsidRDefault="000F54D9" w:rsidP="000F54D9">
      <w:pPr>
        <w:pStyle w:val="22"/>
        <w:shd w:val="clear" w:color="auto" w:fill="auto"/>
        <w:spacing w:before="0" w:after="0" w:line="276" w:lineRule="auto"/>
        <w:ind w:left="5700"/>
      </w:pPr>
    </w:p>
    <w:p w:rsidR="00C84175" w:rsidRDefault="00CC0A26" w:rsidP="000F54D9">
      <w:pPr>
        <w:pStyle w:val="40"/>
        <w:shd w:val="clear" w:color="auto" w:fill="auto"/>
        <w:spacing w:before="0" w:after="0" w:line="276" w:lineRule="auto"/>
      </w:pPr>
      <w:r>
        <w:t>Изменения в Типовой Порядок обеспечения</w:t>
      </w:r>
      <w:r>
        <w:br/>
        <w:t>техническими и другими средствами реабили</w:t>
      </w:r>
      <w:r>
        <w:t>тации</w:t>
      </w:r>
      <w:r>
        <w:br/>
        <w:t>инвалидов, детей-инвалидов и других отдельных категорий населения,</w:t>
      </w:r>
      <w:r>
        <w:br/>
        <w:t>утвержденный Постановлением Совета Министров</w:t>
      </w:r>
      <w:r>
        <w:br/>
        <w:t>Донецкой Народной Республики от 10 января 2015 года № 1-29</w:t>
      </w:r>
    </w:p>
    <w:p w:rsidR="000F54D9" w:rsidRDefault="000F54D9" w:rsidP="000F54D9">
      <w:pPr>
        <w:pStyle w:val="40"/>
        <w:shd w:val="clear" w:color="auto" w:fill="auto"/>
        <w:spacing w:before="0" w:after="0" w:line="276" w:lineRule="auto"/>
      </w:pPr>
    </w:p>
    <w:p w:rsidR="00C84175" w:rsidRDefault="00CC0A26" w:rsidP="00830CC6">
      <w:pPr>
        <w:pStyle w:val="22"/>
        <w:shd w:val="clear" w:color="auto" w:fill="auto"/>
        <w:tabs>
          <w:tab w:val="left" w:pos="9149"/>
        </w:tabs>
        <w:spacing w:before="0" w:after="0" w:line="276" w:lineRule="auto"/>
        <w:ind w:firstLine="740"/>
      </w:pPr>
      <w:r>
        <w:t xml:space="preserve">Внести в </w:t>
      </w:r>
      <w:hyperlink r:id="rId12" w:history="1">
        <w:r w:rsidRPr="00481A3A">
          <w:rPr>
            <w:rStyle w:val="a3"/>
          </w:rPr>
          <w:t xml:space="preserve">Типовой Порядок обеспечения техническими и другими средствами </w:t>
        </w:r>
        <w:r w:rsidRPr="00481A3A">
          <w:rPr>
            <w:rStyle w:val="a3"/>
          </w:rPr>
          <w:t>реабилитации инвалидов, детей-инвалидов и других отдельных категорий населения, утвержденный Постановлением Совета Министров Донецкой Народной Респ</w:t>
        </w:r>
        <w:r w:rsidR="00830CC6" w:rsidRPr="00481A3A">
          <w:rPr>
            <w:rStyle w:val="a3"/>
          </w:rPr>
          <w:t xml:space="preserve">ублики от 10 января 2015 года № </w:t>
        </w:r>
        <w:r w:rsidRPr="00481A3A">
          <w:rPr>
            <w:rStyle w:val="a3"/>
          </w:rPr>
          <w:t>1-29</w:t>
        </w:r>
      </w:hyperlink>
      <w:r w:rsidR="00830CC6">
        <w:t xml:space="preserve"> </w:t>
      </w:r>
      <w:r>
        <w:t>(далее - Типовой Порядок), следующие изменения: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>Абзац четвертый пункта 1</w:t>
      </w:r>
      <w:r>
        <w:t xml:space="preserve"> </w:t>
      </w:r>
      <w:hyperlink r:id="rId13" w:history="1">
        <w:r w:rsidRPr="00481A3A">
          <w:rPr>
            <w:rStyle w:val="a3"/>
          </w:rPr>
          <w:t>Типового Порядка</w:t>
        </w:r>
      </w:hyperlink>
      <w:r>
        <w:t xml:space="preserve">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«Лица, пострадавшие в результате несчастного случая на производстве или профессионального заболевания (далее - пострадавшие на производстве), обеспечиваются техническими и другими средствами реабилитации за </w:t>
      </w:r>
      <w:r>
        <w:t>счет средств Фонда социального страхования от несчастных случаев на производстве и профессиональных заболеваний Донецкой Народной Республики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097"/>
        </w:tabs>
        <w:spacing w:before="0" w:after="0" w:line="276" w:lineRule="auto"/>
        <w:ind w:firstLine="740"/>
      </w:pPr>
      <w:r>
        <w:t xml:space="preserve">Пункт 2 </w:t>
      </w:r>
      <w:hyperlink r:id="rId14" w:history="1">
        <w:r w:rsidRPr="00481A3A">
          <w:rPr>
            <w:rStyle w:val="a3"/>
          </w:rPr>
          <w:t>Типового Порядка</w:t>
        </w:r>
      </w:hyperlink>
      <w:r>
        <w:t xml:space="preserve">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«2. К техническим и другим средствам реабилитации, котор</w:t>
      </w:r>
      <w:r>
        <w:t>ыми обеспечиваются инвалиды, дети-инвалиды и другие отдельные категории населения через органы социальной защиты населения, относятся: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протезно-ортопедические изделия;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ортопедическая обувь;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специальные средства для самообслуживания и ухода;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средства для пе</w:t>
      </w:r>
      <w:r>
        <w:t>редвижения;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вспомогательные средства для личного передвижения и подъема;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мебель и оснащение;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специальные средства для ориентирования, общения и обмена информацией.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Инвалиды и дети-инвалиды обеспечиваются техническими и другими средствами реабилитации в соо</w:t>
      </w:r>
      <w:r>
        <w:t>тветствии с индивидуальной программой реабилитации, кроме лиц, указанных в пунктах 7-9 настоящего Порядка.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  <w:sectPr w:rsidR="00C84175" w:rsidSect="00E86D33">
          <w:type w:val="continuous"/>
          <w:pgSz w:w="11900" w:h="16840"/>
          <w:pgMar w:top="567" w:right="518" w:bottom="1171" w:left="1676" w:header="0" w:footer="3" w:gutter="0"/>
          <w:cols w:space="720"/>
          <w:noEndnote/>
          <w:docGrid w:linePitch="360"/>
        </w:sectPr>
      </w:pPr>
      <w:r>
        <w:t xml:space="preserve">Дети в возрасте до 18 лет с недостатками опорно-двигательного аппарата 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(далее - дети в возрасте до 18 лет) обеспечиваются прот</w:t>
      </w:r>
      <w:r>
        <w:t>езно-ортопедическими изделиями и ортопедической обувью.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Ветераны военной службы, ветераны органов внутренних дел и ветераны государственной пожарной охраны обеспечиваются протезами верхних и нижних конечностей, специальными средствами для самообслуживания </w:t>
      </w:r>
      <w:r>
        <w:t>и ухода, которые являются обязательными для применения при обеспечении такими протезами.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Женщины после </w:t>
      </w:r>
      <w:proofErr w:type="spellStart"/>
      <w:r>
        <w:t>мастэктомии</w:t>
      </w:r>
      <w:proofErr w:type="spellEnd"/>
      <w:r>
        <w:t xml:space="preserve">, секторальной резекции молочной железы, </w:t>
      </w:r>
      <w:proofErr w:type="spellStart"/>
      <w:r>
        <w:t>квадрантектомии</w:t>
      </w:r>
      <w:proofErr w:type="spellEnd"/>
      <w:r>
        <w:t xml:space="preserve"> и с врожденными пороками молочных желез обеспечиваются протезами молочных желез, лифа</w:t>
      </w:r>
      <w:r>
        <w:t xml:space="preserve">ми для их крепления, </w:t>
      </w:r>
      <w:proofErr w:type="spellStart"/>
      <w:r>
        <w:t>ортезами</w:t>
      </w:r>
      <w:proofErr w:type="spellEnd"/>
      <w:r>
        <w:t xml:space="preserve"> на верхние конечности, в частности компрессионными рукавами.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Лица преклонного возраста (лица, достигшие пенсионного возраста) обеспечиваются протезами верхних и нижних конечностей, специальными средствами для самообслуживания </w:t>
      </w:r>
      <w:r>
        <w:t>и ухода, которые являются обязательными для применения при обеспечении такими протезами.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Пострадавшие вследствие боевых действий за независимость, суверенитет и территориальную целостность Донецкой Народной Республики вольнонаемные работники, лица </w:t>
      </w:r>
      <w:r>
        <w:t>рядового, начальствующего состава Вооруженных Сил Управления Народной милиции Донецкой Народной Республики, Министерства внутренних дел Донецкой Народной Республики, Министерства государственной безопасности Донецкой Народной Республики и иных, созданных в</w:t>
      </w:r>
      <w:r>
        <w:t xml:space="preserve"> соответствии с законодательством Донецкой Народной Республики воинских формирований или органов, а также пострадавшие вследствие боевых действий мирные</w:t>
      </w:r>
      <w:proofErr w:type="gramEnd"/>
      <w:r>
        <w:t xml:space="preserve"> граждане, проживающие на территории Донецкой Народной Республики (далее - лица, пострадавшие вследствие</w:t>
      </w:r>
      <w:r>
        <w:t xml:space="preserve"> боевых действий) обеспечиваются техническими и другими средствами реабилитации, независимо от установленной им инвалидности, в соответствии с медицинскими рекомендациями.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Почетные доноры Донецкой Народной Республики имеют право на внеочередное обеспечение</w:t>
      </w:r>
      <w:r>
        <w:t xml:space="preserve"> протезами и другими протезно-ортопедическими изделиями в соответствии с медицинскими рекомендациями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276" w:lineRule="auto"/>
        <w:ind w:firstLine="740"/>
      </w:pPr>
      <w:r>
        <w:t>Пункт 3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«3. </w:t>
      </w:r>
      <w:proofErr w:type="gramStart"/>
      <w:r>
        <w:t>Инвалиды, дети-инвалиды, а также дети в возрасте до 18 лет, ветераны военной службы, ветеран</w:t>
      </w:r>
      <w:r>
        <w:t xml:space="preserve">ы органов внутренних дел и ветераны государственной пожарной охраны, лица преклонного возраста, женщины после </w:t>
      </w:r>
      <w:proofErr w:type="spellStart"/>
      <w:r>
        <w:t>мастэктомии</w:t>
      </w:r>
      <w:proofErr w:type="spellEnd"/>
      <w:r>
        <w:t xml:space="preserve"> и с врожденными пороками молочных желез, лица, пострадавшие вследствие боевых действий, почетные доноры Донецкой Народной Республики (</w:t>
      </w:r>
      <w:r>
        <w:t>далее - другие лица), имеют право на бесплатное обеспечение техническими и другими средствами реабилитации.».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037"/>
        </w:tabs>
        <w:spacing w:before="0" w:after="0" w:line="276" w:lineRule="auto"/>
        <w:ind w:firstLine="740"/>
      </w:pPr>
      <w:r>
        <w:lastRenderedPageBreak/>
        <w:t>В абзаце втором пункта 4 Типового Порядка слова «государственного бюджета» заменить словами «Республиканского бюджета Донецкой Народной Республики</w:t>
      </w:r>
      <w:r>
        <w:t>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>В абзаце третьем пункта 6 Типового Порядка слова «врачебно</w:t>
      </w:r>
      <w:r w:rsidR="000F54D9">
        <w:t>-</w:t>
      </w:r>
      <w:r>
        <w:t>консультативные комиссии лечебно-профилактических учреждений (далее - ВКК)» заменить словами «врачебно-консультативные комиссии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jc w:val="left"/>
      </w:pPr>
      <w:r>
        <w:t>учреждений здравоохранения (далее - ВКК)».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</w:pPr>
      <w:r>
        <w:t>Абзац пятый пункта 6 Тип</w:t>
      </w:r>
      <w:r>
        <w:t>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60"/>
      </w:pPr>
      <w:r>
        <w:t>«лиц, пострадавших вследствие боевых действий и которым не установлена инвалидность - военно-врачебные комиссии (далее - ВВК) или ВКК, при наличии акта судебно-медицинского исследования (освидетельствования)».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</w:pPr>
      <w:r>
        <w:t>Абзац шестой пункта 6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60"/>
      </w:pPr>
      <w:r>
        <w:t>«Основанием для обеспечения техническими и другими средствами реабилитации являются медицинские рекомендации, указанные МСЭК с оформлением индивидуальной программы реабилитации, ВКК, ВВК</w:t>
      </w:r>
      <w:r>
        <w:t>.».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</w:pPr>
      <w:r>
        <w:t xml:space="preserve">В абзаце втором пункта 7 Типового Порядка слова «Для инвалидов по слуху старше 60 лет мобильные телефоны должны быть оборудованы вызовом </w:t>
      </w:r>
      <w:r w:rsidRPr="0065279A">
        <w:rPr>
          <w:lang w:eastAsia="en-US" w:bidi="en-US"/>
        </w:rPr>
        <w:t>«</w:t>
      </w:r>
      <w:r>
        <w:rPr>
          <w:lang w:val="en-US" w:eastAsia="en-US" w:bidi="en-US"/>
        </w:rPr>
        <w:t>SOS</w:t>
      </w:r>
      <w:r w:rsidRPr="0065279A">
        <w:rPr>
          <w:lang w:eastAsia="en-US" w:bidi="en-US"/>
        </w:rPr>
        <w:t xml:space="preserve">» </w:t>
      </w:r>
      <w:r>
        <w:t>исключить.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</w:pPr>
      <w:r>
        <w:t>В абзаце первом пункта 11 Типового Порядка после слов «инвалиды I группы» дополнить словами «дети-</w:t>
      </w:r>
      <w:r>
        <w:t>инвалиды</w:t>
      </w:r>
      <w:proofErr w:type="gramStart"/>
      <w:r>
        <w:t>,»</w:t>
      </w:r>
      <w:proofErr w:type="gramEnd"/>
      <w:r>
        <w:t>, после слова «протезирования» дополнить словами «, почетные доноры Донецкой Народной Республики».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Абзац второй пункта 11 Типового Порядка исключить.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В абзаце третьем пункта 11 Типового Порядка слова «(аппараты, туторы)» исключить.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В абзаце трет</w:t>
      </w:r>
      <w:r>
        <w:t>ьем пункта 13 Типового Порядка слова «в установленном Министерством труда и социальной политики порядке» исключить.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В абзаце восьмом пункта 14 Типового Порядка слова «акт судебно</w:t>
      </w:r>
      <w:r w:rsidR="00830CC6">
        <w:t>-</w:t>
      </w:r>
      <w:r>
        <w:t>медицинской экспертизы» заменить словами «акт судебно-медицинского исследовани</w:t>
      </w:r>
      <w:r>
        <w:t>я (освидетельствования)».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Абзац девятый пункта 14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«выписка из приказа командира воинской части (начальника территориального подразделения) или справка об обстоятельствах травмы (ранения, контузии, увечья), вы</w:t>
      </w:r>
      <w:r>
        <w:t xml:space="preserve">данная командиром воинской части (начальником территориального подразделения), со сведениями об участии в </w:t>
      </w:r>
      <w:r>
        <w:lastRenderedPageBreak/>
        <w:t xml:space="preserve">боевых действиях (для военнослужащих и работников Вооруженных Сил Донецкой Народной Республики, лиц рядового, начальствующего состава, военнослужащих </w:t>
      </w:r>
      <w:r>
        <w:t>и работников Вооруженных Сил Управления Народной милиции Донецкой Народной Республики, Министерства внутренних дел Донецкой Народной</w:t>
      </w:r>
      <w:proofErr w:type="gramEnd"/>
      <w:r>
        <w:t xml:space="preserve"> </w:t>
      </w:r>
      <w:proofErr w:type="gramStart"/>
      <w:r>
        <w:t>Республики, Министерства государственной безопасности Донецкой Народной Республики и иных созданных в соответствии с законо</w:t>
      </w:r>
      <w:r>
        <w:t>дательством Донецкой Народной Республики воинских формирований или органов), которым не установлена инвалидность;».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Абзац тринадцатый пункта 14 Типового Порядка исключить.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76" w:lineRule="auto"/>
        <w:ind w:firstLine="760"/>
      </w:pPr>
      <w:r>
        <w:t>Пункт 14.1. Типового Порядка дополнить подпунктом 3 следующего содержания: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«3) </w:t>
      </w:r>
      <w:r>
        <w:t>справки, подтверждающей место проживания или временного проживания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73"/>
        </w:tabs>
        <w:spacing w:before="0" w:after="0" w:line="276" w:lineRule="auto"/>
        <w:ind w:firstLine="740"/>
      </w:pPr>
      <w:r>
        <w:t>Пункт 23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«23. Инвалид, ребенок-инвалид, другое лицо снимаются с учета в случае: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отмены соответствующих медицинских рекомендаций для обеспе</w:t>
      </w:r>
      <w:r>
        <w:t>чения техническими и другими средствами реабилитации;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снятия инвалидности и потери права на льготы;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выезда на постоянное место жительства за границу;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постановки на учет в орган социальной защиты населения по новому месту регистрации (проживания);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смерти.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О</w:t>
      </w:r>
      <w:r>
        <w:t>рган социальной защиты населения в течение месяца, предшествующего месяцу, в котором истекает срок действия медицинских рекомендаций к обеспечению техническими и другими средствами реабилитации, уведомляет инвалида, ребенка-инвалида, другое лицо или их зак</w:t>
      </w:r>
      <w:r>
        <w:t>онных представителей о необходимости обновления медицинских рекомендаций.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Если инвалиды, дети-инвалиды, другие лица, у которых окончился срок действия медицинских рекомендаций или окончился срок эксплуатации выданных технических и других средств реабилитац</w:t>
      </w:r>
      <w:r>
        <w:t>ии, в течение шести месяцев после окончания срока действия медицинских рекомендаций или срока эксплуатации технических и других средств реабилитации не обратились в органы социальной защиты населения, они снимаются с учета.</w:t>
      </w:r>
      <w:proofErr w:type="gramEnd"/>
      <w:r>
        <w:t xml:space="preserve"> При предоставлении необходимых д</w:t>
      </w:r>
      <w:r>
        <w:t>окументов, снятые с учета лица, восстанавливаются в учете.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Личное дело хранится органом социальной защиты населения в течение пяти лет со дня снятия с учета инвалида, ребенка-инвалида, другого лица, после чего подлежит уничтожению.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Орган социальной защиты </w:t>
      </w:r>
      <w:r>
        <w:t xml:space="preserve">населения в трехдневный срок со дня снятия </w:t>
      </w:r>
      <w:r>
        <w:lastRenderedPageBreak/>
        <w:t>инвалида, ребенка-инвалида, другого лица с учета, вносит необходимую информацию в банк данных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Абзац первый пункта 24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«24. В случае смерти инвалида, ребенка-инвали</w:t>
      </w:r>
      <w:r>
        <w:t>да, другого лица, выданное бесплатно техническое или другое средство реабилитации, срок эксплуатации которого не окончился, возвращается органу социальной защиты населения членами семьи умершего инвалида или другого лица. Перечень технических и других сред</w:t>
      </w:r>
      <w:r>
        <w:t>ств реабилитации подлежащих возврату, и порядок их возврата утверждает Министерство труда и социальной политики Донецкой Народной Республики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Абзац первый пункта 25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tabs>
          <w:tab w:val="left" w:pos="6830"/>
          <w:tab w:val="left" w:pos="8227"/>
        </w:tabs>
        <w:spacing w:before="0" w:after="0" w:line="276" w:lineRule="auto"/>
        <w:ind w:firstLine="740"/>
      </w:pPr>
      <w:r>
        <w:t xml:space="preserve">«25. </w:t>
      </w:r>
      <w:proofErr w:type="gramStart"/>
      <w:r>
        <w:t xml:space="preserve">Технические и другие средства </w:t>
      </w:r>
      <w:r>
        <w:t>реабилитации, которые возвращены членами семьи или законными представителями умерших инвалидов, детей-ин</w:t>
      </w:r>
      <w:r w:rsidR="000F54D9">
        <w:t xml:space="preserve">валидов, других лиц, передаются другим </w:t>
      </w:r>
      <w:r>
        <w:t>инвалидам,</w:t>
      </w:r>
      <w:r w:rsidR="000F54D9">
        <w:t xml:space="preserve"> </w:t>
      </w:r>
      <w:r>
        <w:t>детям-инвалидам, другим лицам или территориальным центрам социального обслуживания (оказания социальны</w:t>
      </w:r>
      <w:r>
        <w:t>х услуг), домам-интернатам, другим учреждениям, находящимся в сфере управления и координации Министерства труда и социальной политики Донецкой Народной Республики в порядке, утвержденном Министерством труда и социальной политики Донецкой Народной Республик</w:t>
      </w:r>
      <w:r>
        <w:t>и.».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276" w:lineRule="auto"/>
        <w:ind w:firstLine="740"/>
      </w:pPr>
      <w:proofErr w:type="gramStart"/>
      <w:r>
        <w:t>В абзаце первом пункта 27 Типового Порядка после слов «удостоверяющим личность» дополнить словами «или свидетельством о рождении (для детей до 16 лет); заключением МСЭК об установлении инвалидности для инвалидов, документом, удостоверяющим регистрацию</w:t>
      </w:r>
      <w:r>
        <w:t xml:space="preserve"> в Государственном реестре физических лиц - плательщиков налогов, в котором указан регистрационный номер учетной карточки налогоплательщика».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276" w:lineRule="auto"/>
        <w:ind w:firstLine="740"/>
      </w:pPr>
      <w:r>
        <w:t>Абзац третий пункта 28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«Предприятие по обращению инвалида, ребенка</w:t>
      </w:r>
      <w:r>
        <w:t>-инвалида, другого лица или их законного представителя на основании направления оформляет заказ на изготовление индивидуальных средств реабилитации (кроме протезов молочной железы) на два месяца раньше окончания срока их эксплуатации и на две недели раньше</w:t>
      </w:r>
      <w:r>
        <w:t xml:space="preserve"> окончания срока эксплуатации для бандажей и корсетов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276" w:lineRule="auto"/>
        <w:ind w:firstLine="740"/>
      </w:pPr>
      <w:r>
        <w:t xml:space="preserve">В абзаце седьмом пункта 33 Типового Порядка после слов «дополнительные </w:t>
      </w:r>
      <w:proofErr w:type="spellStart"/>
      <w:r>
        <w:t>ортезы</w:t>
      </w:r>
      <w:proofErr w:type="spellEnd"/>
      <w:r>
        <w:t xml:space="preserve"> на стопу» дополнить словами «(ортопедические стельки)».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276" w:lineRule="auto"/>
        <w:ind w:firstLine="740"/>
      </w:pPr>
      <w:r>
        <w:t xml:space="preserve">Абзац пятый пункта 36 Типового Порядка изложить в следующей </w:t>
      </w:r>
      <w:r>
        <w:lastRenderedPageBreak/>
        <w:t>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«В случае смерти инвалида, лица, пострадавшего вследствие боевых действий, ребенка-инвалида, техническое средство реабилитации выдается следующему по списку инвалиду, ребенку-инвалиду или другому лицу, состоящему на учете и нуждающемуся в таком с</w:t>
      </w:r>
      <w:r>
        <w:t>редстве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276" w:lineRule="auto"/>
        <w:ind w:firstLine="740"/>
      </w:pPr>
      <w:r>
        <w:t>Пункт 40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«40. Инвалиды, дети-инвалиды, лица, пострадавшие вследствие боевых действий обеспечиваются одним из таких изделий на выбор:</w:t>
      </w:r>
    </w:p>
    <w:p w:rsidR="00C84175" w:rsidRDefault="00CC0A26" w:rsidP="000F54D9">
      <w:pPr>
        <w:pStyle w:val="22"/>
        <w:numPr>
          <w:ilvl w:val="0"/>
          <w:numId w:val="3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вспомогательными средствами для личной гигиены: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креслом стулом (</w:t>
      </w:r>
      <w:r>
        <w:t>на колесах и без них), сиденьем на унитаз, сиденье</w:t>
      </w:r>
      <w:proofErr w:type="gramStart"/>
      <w:r>
        <w:t>м-</w:t>
      </w:r>
      <w:proofErr w:type="gramEnd"/>
      <w:r>
        <w:t xml:space="preserve"> надстройкой на унитаз;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сиденьем для ванны, сиденьем для душа, табуретом, стулом;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ступенями для ванной, подставкой для ванной;</w:t>
      </w:r>
    </w:p>
    <w:p w:rsidR="00C84175" w:rsidRDefault="00CC0A26" w:rsidP="000F54D9">
      <w:pPr>
        <w:pStyle w:val="22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276" w:lineRule="auto"/>
        <w:ind w:firstLine="740"/>
      </w:pPr>
      <w:r>
        <w:t>мебелью: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столом-партой, стойкой-партой, столом рабочим;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табуретом, стулом.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Инвалиды, дети-инвалиды, лица, пострадавшие вследствие боевых действий могут быть обеспечены базовыми моделями технических средств реабилитации (кроме средств передвижения) на минимальный срок, предусмотренный перечнем или моделями, имеющими повышенную над</w:t>
      </w:r>
      <w:r>
        <w:t>ежность или расширенные функции, на максимальный срок, предусмотренный перечнем.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t xml:space="preserve">Инвалиды, дети-инвалиды, лица, пострадавшие вследствие </w:t>
      </w:r>
      <w:proofErr w:type="gramStart"/>
      <w:r>
        <w:t>боевых</w:t>
      </w:r>
      <w:proofErr w:type="gramEnd"/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jc w:val="left"/>
      </w:pPr>
      <w:r>
        <w:t>действий обеспечиваются креслами колесными следующих видов: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580"/>
      </w:pPr>
      <w:proofErr w:type="gramStart"/>
      <w:r>
        <w:t>универсальные - предназначены для передвижения в поме</w:t>
      </w:r>
      <w:r>
        <w:t>щении и вне помещения;</w:t>
      </w:r>
      <w:proofErr w:type="gramEnd"/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580"/>
      </w:pPr>
      <w:proofErr w:type="gramStart"/>
      <w:r>
        <w:t>дорожные - предназначены для передвижения по дорогам с твердым покрытием;</w:t>
      </w:r>
      <w:proofErr w:type="gramEnd"/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580"/>
      </w:pPr>
      <w:proofErr w:type="gramStart"/>
      <w:r>
        <w:t>универсальные для активных инвалидов, детей-инвалидов и лиц, пострадавших вследствие боевых действий (кроме спортивных) - предназначены для передвижения в поме</w:t>
      </w:r>
      <w:r>
        <w:t>щении и вне помещения, высокоманёвренные, с задними приводными колесами и возможностью регулировки положения центра массы;</w:t>
      </w:r>
      <w:proofErr w:type="gramEnd"/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580"/>
      </w:pPr>
      <w:r>
        <w:t>дорожные для активных инвалидов, детей-инвалидов и лиц, пострадавших вследствие боевых действий - предназначены для передвижения по д</w:t>
      </w:r>
      <w:r>
        <w:t>орогам с твердым покрытием, с двойным ручным управлением и механическим приводом, высокоманёвренные и с возможностью регулировки положения центра массы.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Активными инвалидами, детьми-инвалидами и лицами, пострадавшими </w:t>
      </w:r>
      <w:r>
        <w:lastRenderedPageBreak/>
        <w:t>вследствие боевых действий являются лиц</w:t>
      </w:r>
      <w:r>
        <w:t>а, которые способны к самообслуживанию, нуждаются в минимальном постороннем уходе, самостоятельно передвигаются на кресле колесном значительную часть времени и ведут активный образ жизни (учатся, работают, служат, занимаются спортом, вовлеченные в обществе</w:t>
      </w:r>
      <w:r>
        <w:t>нной деятельности, активной реабилитации и т.д.).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Дети-инвалиды обеспечиваются двумя креслами колесными на выбор (при этом выдается не более одного кресла с электрическим приводом) на максимальный срок, предусмотренный перечнем.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Дети-инвалиды обеспечиваютс</w:t>
      </w:r>
      <w:r>
        <w:t>я креслами колесными в случае изменения антропометрических данных, подтверждающихся справкой ВКК.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Инвалиды и лица, пострадавшие вследствие боевых действий могут быть обеспечены на выбор: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одним креслом колесным с ручным управлением (дорожным или универсальн</w:t>
      </w:r>
      <w:r>
        <w:t>ым) базовым или с расширенными функциями сроком на два года;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одним креслом колесным с электрическим приводом (дорожным или универсальным) базовым или с расширенными функциями сроком на шесть лет;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двумя креслами колесными (дорожным и универсальным) или двум</w:t>
      </w:r>
      <w:r>
        <w:t xml:space="preserve">я универсальными креслами (при этом </w:t>
      </w:r>
      <w:proofErr w:type="gramStart"/>
      <w:r>
        <w:t>выдается не более одного кресла</w:t>
      </w:r>
      <w:proofErr w:type="gramEnd"/>
      <w:r>
        <w:t xml:space="preserve"> с электрическим приводом и с расширенными функциями) на максимальный срок, предусмотренный перечнем.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Активный инвалид, ребенок-инвалид или лицо, пострадавшее вследствие боевых действий мож</w:t>
      </w:r>
      <w:r>
        <w:t>ет быть обеспечен на выбор: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одним креслом колесным базовым универсальным для активных инвалидов, детей-инвалидов и лиц, пострадавших вследствие боевых действий сроком на два года;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двумя креслами колесными, одно из которых универсальное для активных </w:t>
      </w:r>
      <w:r>
        <w:t>инвалидов, детей-инвалидов и лиц, пострадавших вследствие боевых действий базовое, второе - дорожное или универсальное с расширенными функциями, сроком на четыре года;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двумя креслами колесными универсальными для активных инвалидов, детей-инвалидов и лиц, п</w:t>
      </w:r>
      <w:r>
        <w:t>острадавших вследствие боевых действий базовыми сроком на четыре года;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right="260" w:firstLine="740"/>
      </w:pPr>
      <w:r>
        <w:t>двумя креслами колесными, одно из которых дорожное или универсальное с электрическим приводом, второе - универсальное для активных инвалидов, детей-инвалидов и лиц, пострадавших вследст</w:t>
      </w:r>
      <w:r>
        <w:t>вие боевых действий базовое, на максимальный срок, предусмотренный перечнем.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В пункте 42 Типового Порядка слова «за счет средств государственного или местного бюджета» заменить словами «за счет средств </w:t>
      </w:r>
      <w:r>
        <w:lastRenderedPageBreak/>
        <w:t>Республиканского бюджета Донецкой Народной Республики</w:t>
      </w:r>
      <w:r>
        <w:t>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>В абзаце первом пункта 44 Типового Порядка слова «за счет средств государственного или местного бюджета» заменить словами «за счет средств Республиканского бюджета Донецкой Народной Республики».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>Абзац первый пункта 49 Типового Порядка изложить в следующ</w:t>
      </w:r>
      <w:r>
        <w:t>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«49. Обеспечение инвалидов, детей-инвалидов, других лиц техническими и другими средствами реабилитации осуществляется в пределах бюджетных ассигнований Республиканского бюджета Донецкой Народной Республики, предусмотренных на эти цели (далее -</w:t>
      </w:r>
      <w:r>
        <w:t xml:space="preserve"> бюджетные средства)</w:t>
      </w:r>
      <w:proofErr w:type="gramStart"/>
      <w:r>
        <w:t>.»</w:t>
      </w:r>
      <w:proofErr w:type="gramEnd"/>
      <w:r>
        <w:t>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>Абзац второй пункта 49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«Во исполнение норм Временного положения о бюджетной системе Донецкой Народной Республики, Министерство труда и социальной политики Донецкой Народной Республики </w:t>
      </w:r>
      <w:r>
        <w:t>предоставляет в Министерство финансов Донецкой Народной Республики бюджетный запрос, в который включает потребность в технических и других средствах реабилитации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>Абзац седьмой пункта 49 Типового Порядка изложить в следующей редакции:</w:t>
      </w:r>
    </w:p>
    <w:p w:rsidR="00C84175" w:rsidRDefault="00CC0A26" w:rsidP="000F54D9">
      <w:pPr>
        <w:pStyle w:val="22"/>
        <w:shd w:val="clear" w:color="auto" w:fill="auto"/>
        <w:spacing w:before="0" w:after="0" w:line="276" w:lineRule="auto"/>
        <w:ind w:firstLine="740"/>
      </w:pPr>
      <w:r>
        <w:t>«Министерство труда</w:t>
      </w:r>
      <w:r>
        <w:t xml:space="preserve"> и социальной политики Донецкой Народной Республики может вносить предоплату при закупке технических и других средств реабилитации и предоставлении услуг по их послегарантийному ремонту в порядке, утвержденном Министерством финансов Донецкой Народной Респу</w:t>
      </w:r>
      <w:r>
        <w:t>блики</w:t>
      </w:r>
      <w:proofErr w:type="gramStart"/>
      <w:r>
        <w:t>.».</w:t>
      </w:r>
      <w:proofErr w:type="gramEnd"/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 xml:space="preserve">По тексту </w:t>
      </w:r>
      <w:hyperlink r:id="rId15" w:history="1">
        <w:r w:rsidRPr="00481A3A">
          <w:rPr>
            <w:rStyle w:val="a3"/>
          </w:rPr>
          <w:t>Типового Порядка</w:t>
        </w:r>
      </w:hyperlink>
      <w:bookmarkStart w:id="5" w:name="_GoBack"/>
      <w:bookmarkEnd w:id="5"/>
      <w:r>
        <w:t xml:space="preserve"> слова «пострадавшие вследствие боевых действий» заменить словами «лица, пострадавшие вследствие боевых действий» в соответствующих падежах.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>По тексту Типового Порядка после слов «Министерство труда и социальной политики»</w:t>
      </w:r>
      <w:r>
        <w:t xml:space="preserve"> дополнить словами «Донецкой Народной Республики» в соответствующих падежах.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740"/>
      </w:pPr>
      <w:r>
        <w:t>По тексту Типового Порядка слова «медицинские показания» заменить словами «медицинские рекомендации» в соответствующих падежах.</w:t>
      </w:r>
    </w:p>
    <w:p w:rsidR="00C84175" w:rsidRDefault="00CC0A26" w:rsidP="000F54D9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</w:pPr>
      <w:r>
        <w:t>Приложение к Типовому порядку «Перечень технических</w:t>
      </w:r>
      <w:r>
        <w:t xml:space="preserve"> и других средств реабилитации для инвалидов, детей-инвалидов и других отдельных категорий населения» изложить в новой редакции (прилагается).</w:t>
      </w:r>
    </w:p>
    <w:p w:rsidR="0065279A" w:rsidRDefault="0065279A" w:rsidP="000F54D9">
      <w:pPr>
        <w:pStyle w:val="22"/>
        <w:shd w:val="clear" w:color="auto" w:fill="auto"/>
        <w:tabs>
          <w:tab w:val="left" w:pos="1181"/>
        </w:tabs>
        <w:spacing w:before="0" w:after="0" w:line="276" w:lineRule="auto"/>
        <w:ind w:left="740"/>
      </w:pPr>
    </w:p>
    <w:p w:rsidR="000F54D9" w:rsidRDefault="000F54D9" w:rsidP="000F54D9">
      <w:pPr>
        <w:pStyle w:val="22"/>
        <w:shd w:val="clear" w:color="auto" w:fill="auto"/>
        <w:tabs>
          <w:tab w:val="left" w:pos="1181"/>
        </w:tabs>
        <w:spacing w:before="0" w:after="0" w:line="276" w:lineRule="auto"/>
        <w:ind w:left="740"/>
      </w:pPr>
    </w:p>
    <w:p w:rsidR="000F54D9" w:rsidRDefault="000F54D9" w:rsidP="000F54D9">
      <w:pPr>
        <w:pStyle w:val="22"/>
        <w:shd w:val="clear" w:color="auto" w:fill="auto"/>
        <w:tabs>
          <w:tab w:val="left" w:pos="118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96940" cy="9207500"/>
            <wp:effectExtent l="0" t="0" r="0" b="0"/>
            <wp:docPr id="1" name="Рисунок 1" descr="C:\Users\user\Desktop\доки\постановления совета министров\12.08\П 21-9\Postanov_N21_9_0708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8\П 21-9\Postanov_N21_9_07082019_Page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920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8973820"/>
            <wp:effectExtent l="0" t="0" r="0" b="0"/>
            <wp:docPr id="2" name="Рисунок 2" descr="C:\Users\user\Desktop\доки\постановления совета министров\12.08\П 21-9\Postanov_N21_9_0708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8\П 21-9\Postanov_N21_9_07082019_Page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97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32805" cy="9218295"/>
            <wp:effectExtent l="0" t="0" r="0" b="0"/>
            <wp:docPr id="3" name="Рисунок 3" descr="C:\Users\user\Desktop\доки\постановления совета министров\12.08\П 21-9\Postanov_N21_9_0708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8\П 21-9\Postanov_N21_9_07082019_Page1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921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9123045"/>
            <wp:effectExtent l="0" t="0" r="0" b="0"/>
            <wp:docPr id="4" name="Рисунок 4" descr="C:\Users\user\Desktop\доки\постановления совета министров\12.08\П 21-9\Postanov_N21_9_0708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2.08\П 21-9\Postanov_N21_9_07082019_Page1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912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9080500"/>
            <wp:effectExtent l="0" t="0" r="0" b="0"/>
            <wp:docPr id="5" name="Рисунок 5" descr="C:\Users\user\Desktop\доки\постановления совета министров\12.08\П 21-9\Postanov_N21_9_07082019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2.08\П 21-9\Postanov_N21_9_07082019_Page1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908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7931785"/>
            <wp:effectExtent l="0" t="0" r="0" b="0"/>
            <wp:docPr id="6" name="Рисунок 6" descr="C:\Users\user\Desktop\доки\постановления совета министров\12.08\П 21-9\Postanov_N21_9_07082019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2.08\П 21-9\Postanov_N21_9_07082019_Page1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793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54D9">
      <w:headerReference w:type="default" r:id="rId22"/>
      <w:pgSz w:w="11900" w:h="16840"/>
      <w:pgMar w:top="1152" w:right="518" w:bottom="1171" w:left="167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26" w:rsidRDefault="00CC0A26">
      <w:r>
        <w:separator/>
      </w:r>
    </w:p>
  </w:endnote>
  <w:endnote w:type="continuationSeparator" w:id="0">
    <w:p w:rsidR="00CC0A26" w:rsidRDefault="00CC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26" w:rsidRDefault="00CC0A26"/>
  </w:footnote>
  <w:footnote w:type="continuationSeparator" w:id="0">
    <w:p w:rsidR="00CC0A26" w:rsidRDefault="00CC0A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75" w:rsidRDefault="00CC0A2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95pt;margin-top:38.7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4175" w:rsidRDefault="00CC0A26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81A3A" w:rsidRPr="00481A3A">
                  <w:rPr>
                    <w:rStyle w:val="a6"/>
                    <w:noProof/>
                  </w:rPr>
                  <w:t>8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4322"/>
    <w:multiLevelType w:val="multilevel"/>
    <w:tmpl w:val="75FCA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8E307F"/>
    <w:multiLevelType w:val="multilevel"/>
    <w:tmpl w:val="524C86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241316"/>
    <w:multiLevelType w:val="multilevel"/>
    <w:tmpl w:val="AC5A88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4175"/>
    <w:rsid w:val="000F54D9"/>
    <w:rsid w:val="00481A3A"/>
    <w:rsid w:val="0065279A"/>
    <w:rsid w:val="00830CC6"/>
    <w:rsid w:val="00AA5A9D"/>
    <w:rsid w:val="00C84175"/>
    <w:rsid w:val="00CC0A26"/>
    <w:rsid w:val="00E8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F54D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4D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-29-ot-10-01-2015-g-ob-utverzhdenii-tipovogo-poryadka-obespecheniya-tehnicheskimi-i-drugimi-sredstvami-reabilitatsii-invalidov-detej-invalidov-i-drugih-otdelnyh-ka/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-29-ot-10-01-2015-g-ob-utverzhdenii-tipovogo-poryadka-obespecheniya-tehnicheskimi-i-drugimi-sredstvami-reabilitatsii-invalidov-detej-invalidov-i-drugih-otdelnyh-ka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-29-ot-10-01-2015-g-ob-utverzhdenii-tipovogo-poryadka-obespecheniya-tehnicheskimi-i-drugimi-sredstvami-reabilitatsii-invalidov-detej-invalidov-i-drugih-otdelnyh-ka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-29-ot-10-01-2015-g-ob-utverzhdenii-tipovogo-poryadka-obespecheniya-tehnicheskimi-i-drugimi-sredstvami-reabilitatsii-invalidov-detej-invalidov-i-drugih-otdelnyh-ka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nr-online.ru/download/ukaz-glavy-donetskoj-narodnoj-respubliki-47-2-ot-17-12-2014-goda-ob-obespechenii-invalidov-detej-invalidov-i-drugih-otdelnyh-kategorij-naseleniya-tehnicheskimi-i-drugimi-sredstvami-reabilitatsii/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8-ihc-o-sotsialnoj-zashhite-invalidov-dejstvuyushhaya-redaktsiya-po-sostoyaniyu-na-13-03-2019g/" TargetMode="External"/><Relationship Id="rId14" Type="http://schemas.openxmlformats.org/officeDocument/2006/relationships/hyperlink" Target="https://dnr-online.ru/download/postanovlenie-soveta-ministrov-dnr-1-29-ot-10-01-2015-g-ob-utverzhdenii-tipovogo-poryadka-obespecheniya-tehnicheskimi-i-drugimi-sredstvami-reabilitatsii-invalidov-detej-invalidov-i-drugih-otdelnyh-ka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2019-08-12T09:14:00Z</dcterms:created>
  <dcterms:modified xsi:type="dcterms:W3CDTF">2019-08-12T10:46:00Z</dcterms:modified>
</cp:coreProperties>
</file>