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9B" w:rsidRDefault="00F455A6" w:rsidP="00A92505">
      <w:pPr>
        <w:framePr w:h="163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81.75pt">
            <v:imagedata r:id="rId8" r:href="rId9"/>
          </v:shape>
        </w:pict>
      </w:r>
      <w:r>
        <w:fldChar w:fldCharType="end"/>
      </w:r>
    </w:p>
    <w:p w:rsidR="00B6439B" w:rsidRDefault="00B6439B" w:rsidP="00A92505">
      <w:pPr>
        <w:spacing w:line="276" w:lineRule="auto"/>
        <w:rPr>
          <w:sz w:val="2"/>
          <w:szCs w:val="2"/>
        </w:rPr>
      </w:pPr>
    </w:p>
    <w:p w:rsidR="00B6439B" w:rsidRDefault="00F455A6" w:rsidP="00A92505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B6439B" w:rsidRDefault="00F455A6" w:rsidP="00A92505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92505" w:rsidRDefault="00A92505" w:rsidP="00A92505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6439B" w:rsidRDefault="00F455A6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B6439B" w:rsidRDefault="00F455A6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7-22</w:t>
      </w:r>
      <w:bookmarkEnd w:id="2"/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B6439B" w:rsidRDefault="00F455A6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 реализации отдельных положений</w:t>
      </w:r>
      <w:r>
        <w:rPr>
          <w:rStyle w:val="214pt"/>
          <w:b/>
          <w:bCs/>
        </w:rPr>
        <w:br/>
      </w:r>
      <w:r>
        <w:rPr>
          <w:rStyle w:val="214pt"/>
          <w:b/>
          <w:bCs/>
        </w:rPr>
        <w:t>Закона Донецкой Народной Республики «О защите прав потребителей»</w:t>
      </w:r>
      <w:bookmarkEnd w:id="3"/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B6439B" w:rsidRDefault="00F455A6" w:rsidP="00A92505">
      <w:pPr>
        <w:pStyle w:val="23"/>
        <w:shd w:val="clear" w:color="auto" w:fill="auto"/>
        <w:spacing w:before="0" w:after="0" w:line="276" w:lineRule="auto"/>
        <w:ind w:firstLine="740"/>
        <w:jc w:val="both"/>
        <w:rPr>
          <w:rStyle w:val="24"/>
        </w:rPr>
      </w:pPr>
      <w:r>
        <w:rPr>
          <w:rStyle w:val="24"/>
        </w:rPr>
        <w:t xml:space="preserve">В соответствии со статьями 7, 8 и 9 </w:t>
      </w:r>
      <w:hyperlink r:id="rId10" w:history="1">
        <w:r w:rsidRPr="007F5259">
          <w:rPr>
            <w:rStyle w:val="a3"/>
          </w:rPr>
          <w:t xml:space="preserve">Закона Донецкой Народной Республики от 05 июня 2015 г. № </w:t>
        </w:r>
        <w:r w:rsidRPr="007F5259">
          <w:rPr>
            <w:rStyle w:val="a3"/>
            <w:lang w:eastAsia="en-US" w:bidi="en-US"/>
          </w:rPr>
          <w:t>53-</w:t>
        </w:r>
        <w:r w:rsidRPr="007F5259">
          <w:rPr>
            <w:rStyle w:val="a3"/>
            <w:lang w:val="en-US" w:eastAsia="en-US" w:bidi="en-US"/>
          </w:rPr>
          <w:t>IHC</w:t>
        </w:r>
        <w:r w:rsidRPr="007F5259">
          <w:rPr>
            <w:rStyle w:val="a3"/>
            <w:lang w:eastAsia="en-US" w:bidi="en-US"/>
          </w:rPr>
          <w:t xml:space="preserve"> </w:t>
        </w:r>
        <w:r w:rsidRPr="007F5259">
          <w:rPr>
            <w:rStyle w:val="a3"/>
          </w:rPr>
          <w:t>«О защите прав потребителей»</w:t>
        </w:r>
      </w:hyperlink>
      <w:bookmarkStart w:id="4" w:name="_GoBack"/>
      <w:bookmarkEnd w:id="4"/>
      <w:r>
        <w:rPr>
          <w:rStyle w:val="24"/>
        </w:rPr>
        <w:t xml:space="preserve">, руководствуясь статьями 77, 78 </w:t>
      </w:r>
      <w:hyperlink r:id="rId11" w:history="1">
        <w:r w:rsidRPr="00BE4094">
          <w:rPr>
            <w:rStyle w:val="a3"/>
          </w:rPr>
          <w:t xml:space="preserve">Конституции Донецкой Народной </w:t>
        </w:r>
        <w:r w:rsidRPr="00BE4094">
          <w:rPr>
            <w:rStyle w:val="a3"/>
          </w:rPr>
          <w:t>Республики</w:t>
        </w:r>
      </w:hyperlink>
      <w:r>
        <w:rPr>
          <w:rStyle w:val="24"/>
        </w:rPr>
        <w:t>, Совет Министров Донецкой Народной Республики</w:t>
      </w:r>
    </w:p>
    <w:p w:rsidR="00A92505" w:rsidRDefault="00A92505" w:rsidP="00A92505">
      <w:pPr>
        <w:pStyle w:val="23"/>
        <w:shd w:val="clear" w:color="auto" w:fill="auto"/>
        <w:spacing w:before="0" w:after="0" w:line="276" w:lineRule="auto"/>
        <w:ind w:firstLine="740"/>
        <w:jc w:val="both"/>
      </w:pPr>
    </w:p>
    <w:p w:rsidR="00B6439B" w:rsidRDefault="00F455A6" w:rsidP="00A92505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A92505" w:rsidRDefault="00A92505" w:rsidP="00A9250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6439B" w:rsidRDefault="00F455A6" w:rsidP="00A92505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76" w:lineRule="auto"/>
        <w:ind w:firstLine="740"/>
        <w:jc w:val="both"/>
      </w:pPr>
      <w:r>
        <w:rPr>
          <w:rStyle w:val="24"/>
        </w:rPr>
        <w:t>Утвердить гарантийные сроки на сезонные товары, которые исчисляются с начала соответствующего сезона (Приложение 1).</w:t>
      </w:r>
    </w:p>
    <w:p w:rsidR="00B6439B" w:rsidRDefault="00F455A6" w:rsidP="00A92505">
      <w:pPr>
        <w:pStyle w:val="23"/>
        <w:numPr>
          <w:ilvl w:val="0"/>
          <w:numId w:val="1"/>
        </w:numPr>
        <w:shd w:val="clear" w:color="auto" w:fill="auto"/>
        <w:tabs>
          <w:tab w:val="left" w:pos="1074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Утвердить Перечень товаров, из которых создаётся обменный фонд </w:t>
      </w:r>
      <w:r>
        <w:rPr>
          <w:rStyle w:val="24"/>
        </w:rPr>
        <w:t>(Приложение 2).</w:t>
      </w:r>
    </w:p>
    <w:p w:rsidR="00B6439B" w:rsidRDefault="00F455A6" w:rsidP="00A92505">
      <w:pPr>
        <w:pStyle w:val="23"/>
        <w:numPr>
          <w:ilvl w:val="0"/>
          <w:numId w:val="1"/>
        </w:numPr>
        <w:shd w:val="clear" w:color="auto" w:fill="auto"/>
        <w:tabs>
          <w:tab w:val="left" w:pos="1074"/>
        </w:tabs>
        <w:spacing w:before="0" w:after="0" w:line="276" w:lineRule="auto"/>
        <w:ind w:firstLine="740"/>
        <w:jc w:val="both"/>
      </w:pPr>
      <w:r>
        <w:rPr>
          <w:rStyle w:val="24"/>
        </w:rPr>
        <w:t>Утвердить Перечень товаров надлежащего качества, не подлежащих обмену (возврату) (Приложение 3).</w:t>
      </w:r>
    </w:p>
    <w:p w:rsidR="00A92505" w:rsidRDefault="00F455A6" w:rsidP="00A92505">
      <w:pPr>
        <w:pStyle w:val="a5"/>
        <w:numPr>
          <w:ilvl w:val="0"/>
          <w:numId w:val="1"/>
        </w:numPr>
        <w:shd w:val="clear" w:color="auto" w:fill="auto"/>
        <w:tabs>
          <w:tab w:val="left" w:pos="1074"/>
        </w:tabs>
        <w:spacing w:line="276" w:lineRule="auto"/>
        <w:ind w:firstLine="74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  <w:bookmarkStart w:id="6" w:name="bookmark5"/>
    </w:p>
    <w:p w:rsidR="00A92505" w:rsidRDefault="00A92505" w:rsidP="00A92505">
      <w:pPr>
        <w:pStyle w:val="a5"/>
        <w:shd w:val="clear" w:color="auto" w:fill="auto"/>
        <w:tabs>
          <w:tab w:val="left" w:pos="1074"/>
        </w:tabs>
        <w:spacing w:line="276" w:lineRule="auto"/>
        <w:ind w:left="740" w:firstLine="0"/>
        <w:jc w:val="both"/>
        <w:rPr>
          <w:rStyle w:val="a6"/>
        </w:rPr>
      </w:pPr>
    </w:p>
    <w:p w:rsidR="00A92505" w:rsidRDefault="00A92505" w:rsidP="00A92505">
      <w:pPr>
        <w:pStyle w:val="a5"/>
        <w:shd w:val="clear" w:color="auto" w:fill="auto"/>
        <w:tabs>
          <w:tab w:val="left" w:pos="1074"/>
        </w:tabs>
        <w:spacing w:line="276" w:lineRule="auto"/>
        <w:ind w:left="740" w:firstLine="0"/>
        <w:jc w:val="both"/>
        <w:rPr>
          <w:rStyle w:val="a6"/>
        </w:rPr>
      </w:pPr>
    </w:p>
    <w:p w:rsidR="00B6439B" w:rsidRPr="00A92505" w:rsidRDefault="00F455A6" w:rsidP="00A92505">
      <w:pPr>
        <w:pStyle w:val="a5"/>
        <w:shd w:val="clear" w:color="auto" w:fill="auto"/>
        <w:tabs>
          <w:tab w:val="left" w:pos="1074"/>
        </w:tabs>
        <w:spacing w:line="276" w:lineRule="auto"/>
        <w:ind w:firstLine="0"/>
        <w:jc w:val="both"/>
        <w:rPr>
          <w:rStyle w:val="214pt"/>
          <w:b w:val="0"/>
          <w:bCs w:val="0"/>
        </w:rPr>
      </w:pPr>
      <w:r w:rsidRPr="00A92505">
        <w:rPr>
          <w:rStyle w:val="214pt"/>
        </w:rPr>
        <w:t xml:space="preserve">Председатель </w:t>
      </w:r>
      <w:r w:rsidR="00A92505" w:rsidRPr="00A92505">
        <w:rPr>
          <w:rStyle w:val="214pt"/>
        </w:rPr>
        <w:br/>
      </w:r>
      <w:r w:rsidRPr="00A92505">
        <w:rPr>
          <w:rStyle w:val="214pt"/>
        </w:rPr>
        <w:t>Совета Министров</w:t>
      </w:r>
      <w:bookmarkEnd w:id="6"/>
      <w:r w:rsidR="00A92505" w:rsidRPr="00A92505">
        <w:rPr>
          <w:rStyle w:val="214pt"/>
        </w:rPr>
        <w:t xml:space="preserve">                                                                       А. В. Захарченко </w:t>
      </w: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lastRenderedPageBreak/>
        <w:t>Приложение 1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t>к Постановлению Совета Ми</w:t>
      </w:r>
      <w:r>
        <w:t xml:space="preserve">нистров Донецкой Народной Республики </w:t>
      </w:r>
      <w:r w:rsidR="00A92505">
        <w:br/>
      </w:r>
      <w:r>
        <w:t>от 31 мая 2016 г. № 7-22 (пункт 1)</w:t>
      </w: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B6439B" w:rsidRDefault="00F455A6" w:rsidP="00A92505">
      <w:pPr>
        <w:pStyle w:val="40"/>
        <w:shd w:val="clear" w:color="auto" w:fill="auto"/>
        <w:spacing w:before="0" w:after="0" w:line="276" w:lineRule="auto"/>
      </w:pPr>
      <w:r>
        <w:t>ГАРАНТИЙНЫЕ СРОКИ</w:t>
      </w:r>
      <w:r>
        <w:br/>
        <w:t>на сезонные товары, которые исчисляются</w:t>
      </w:r>
      <w:r>
        <w:br/>
        <w:t>с начала соответствующего сезона</w:t>
      </w:r>
    </w:p>
    <w:p w:rsidR="00A92505" w:rsidRDefault="00A92505" w:rsidP="00A92505">
      <w:pPr>
        <w:pStyle w:val="40"/>
        <w:shd w:val="clear" w:color="auto" w:fill="auto"/>
        <w:spacing w:before="0" w:after="0" w:line="276" w:lineRule="auto"/>
        <w:jc w:val="both"/>
      </w:pPr>
    </w:p>
    <w:p w:rsidR="00B6439B" w:rsidRDefault="00F455A6" w:rsidP="00A92505">
      <w:pPr>
        <w:pStyle w:val="23"/>
        <w:numPr>
          <w:ilvl w:val="0"/>
          <w:numId w:val="2"/>
        </w:numPr>
        <w:shd w:val="clear" w:color="auto" w:fill="auto"/>
        <w:tabs>
          <w:tab w:val="left" w:pos="440"/>
        </w:tabs>
        <w:spacing w:before="120" w:after="0" w:line="276" w:lineRule="auto"/>
        <w:ind w:firstLine="567"/>
        <w:jc w:val="both"/>
      </w:pPr>
      <w:r>
        <w:t>Для одежды, меховых и других изделий:</w:t>
      </w:r>
    </w:p>
    <w:p w:rsidR="00B6439B" w:rsidRDefault="00F455A6" w:rsidP="00A92505">
      <w:pPr>
        <w:pStyle w:val="23"/>
        <w:numPr>
          <w:ilvl w:val="1"/>
          <w:numId w:val="2"/>
        </w:numPr>
        <w:shd w:val="clear" w:color="auto" w:fill="auto"/>
        <w:tabs>
          <w:tab w:val="left" w:pos="565"/>
        </w:tabs>
        <w:spacing w:before="120" w:after="0" w:line="276" w:lineRule="auto"/>
        <w:ind w:firstLine="1134"/>
        <w:jc w:val="both"/>
      </w:pPr>
      <w:r>
        <w:t xml:space="preserve">Весенне-летнего ассортимента - с 1 апреля по 30 </w:t>
      </w:r>
      <w:r>
        <w:t>сентября;</w:t>
      </w:r>
    </w:p>
    <w:p w:rsidR="00B6439B" w:rsidRDefault="00F455A6" w:rsidP="00A92505">
      <w:pPr>
        <w:pStyle w:val="23"/>
        <w:numPr>
          <w:ilvl w:val="1"/>
          <w:numId w:val="2"/>
        </w:numPr>
        <w:shd w:val="clear" w:color="auto" w:fill="auto"/>
        <w:tabs>
          <w:tab w:val="left" w:pos="565"/>
        </w:tabs>
        <w:spacing w:before="120" w:after="0" w:line="276" w:lineRule="auto"/>
        <w:ind w:firstLine="1134"/>
        <w:jc w:val="both"/>
      </w:pPr>
      <w:r>
        <w:t>Осенне-зимнего ассортимента - с 1 октября по 31 марта;</w:t>
      </w:r>
    </w:p>
    <w:p w:rsidR="00B6439B" w:rsidRDefault="00F455A6" w:rsidP="00A92505">
      <w:pPr>
        <w:pStyle w:val="23"/>
        <w:numPr>
          <w:ilvl w:val="0"/>
          <w:numId w:val="2"/>
        </w:numPr>
        <w:shd w:val="clear" w:color="auto" w:fill="auto"/>
        <w:tabs>
          <w:tab w:val="left" w:pos="440"/>
        </w:tabs>
        <w:spacing w:before="120" w:after="0" w:line="276" w:lineRule="auto"/>
        <w:ind w:firstLine="567"/>
        <w:jc w:val="both"/>
      </w:pPr>
      <w:r>
        <w:t>Для обуви:</w:t>
      </w:r>
    </w:p>
    <w:p w:rsidR="00B6439B" w:rsidRDefault="00F455A6" w:rsidP="00A92505">
      <w:pPr>
        <w:pStyle w:val="23"/>
        <w:numPr>
          <w:ilvl w:val="1"/>
          <w:numId w:val="2"/>
        </w:numPr>
        <w:shd w:val="clear" w:color="auto" w:fill="auto"/>
        <w:tabs>
          <w:tab w:val="left" w:pos="594"/>
        </w:tabs>
        <w:spacing w:before="120" w:after="0" w:line="276" w:lineRule="auto"/>
        <w:ind w:firstLine="1134"/>
        <w:jc w:val="both"/>
      </w:pPr>
      <w:r>
        <w:t>Зимнего ассортимента - с 15 ноября по 15 марта;</w:t>
      </w:r>
    </w:p>
    <w:p w:rsidR="00B6439B" w:rsidRDefault="00F455A6" w:rsidP="00A92505">
      <w:pPr>
        <w:pStyle w:val="23"/>
        <w:numPr>
          <w:ilvl w:val="1"/>
          <w:numId w:val="2"/>
        </w:numPr>
        <w:shd w:val="clear" w:color="auto" w:fill="auto"/>
        <w:tabs>
          <w:tab w:val="left" w:pos="594"/>
        </w:tabs>
        <w:spacing w:before="120" w:after="0" w:line="276" w:lineRule="auto"/>
        <w:ind w:firstLine="1134"/>
        <w:jc w:val="both"/>
      </w:pPr>
      <w:r>
        <w:t>Весенне-осеннего ассортимента - с 15 марта по 15 мая,</w:t>
      </w:r>
    </w:p>
    <w:p w:rsidR="00B6439B" w:rsidRDefault="00F455A6" w:rsidP="00A92505">
      <w:pPr>
        <w:pStyle w:val="23"/>
        <w:shd w:val="clear" w:color="auto" w:fill="auto"/>
        <w:spacing w:before="120" w:after="0" w:line="276" w:lineRule="auto"/>
        <w:ind w:firstLine="6237"/>
        <w:jc w:val="both"/>
      </w:pPr>
      <w:r>
        <w:t>с 15 сентября по 15 ноября;</w:t>
      </w:r>
    </w:p>
    <w:p w:rsidR="00B6439B" w:rsidRDefault="00F455A6" w:rsidP="00A92505">
      <w:pPr>
        <w:pStyle w:val="23"/>
        <w:numPr>
          <w:ilvl w:val="1"/>
          <w:numId w:val="2"/>
        </w:numPr>
        <w:shd w:val="clear" w:color="auto" w:fill="auto"/>
        <w:tabs>
          <w:tab w:val="left" w:pos="594"/>
        </w:tabs>
        <w:spacing w:before="120" w:after="0" w:line="276" w:lineRule="auto"/>
        <w:ind w:firstLine="1134"/>
        <w:jc w:val="both"/>
        <w:sectPr w:rsidR="00B6439B" w:rsidSect="00A92505">
          <w:pgSz w:w="11900" w:h="16840"/>
          <w:pgMar w:top="851" w:right="448" w:bottom="1134" w:left="1631" w:header="0" w:footer="3" w:gutter="0"/>
          <w:cols w:space="720"/>
          <w:noEndnote/>
          <w:docGrid w:linePitch="360"/>
        </w:sectPr>
      </w:pPr>
      <w:r>
        <w:t xml:space="preserve">Летнего ассортимента - с 15 </w:t>
      </w:r>
      <w:r>
        <w:t>мая по 15 сентября.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lastRenderedPageBreak/>
        <w:t>Приложение 2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t>к Постановлению Совета Министров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t>Донецкой Народной Республики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5670"/>
      </w:pPr>
      <w:r>
        <w:t>от 31 мая 2016 г. № 7-22 (пункт 2)</w:t>
      </w:r>
    </w:p>
    <w:p w:rsidR="00A92505" w:rsidRDefault="00A92505" w:rsidP="00A92505">
      <w:pPr>
        <w:pStyle w:val="40"/>
        <w:shd w:val="clear" w:color="auto" w:fill="auto"/>
        <w:spacing w:before="0" w:after="0" w:line="276" w:lineRule="auto"/>
        <w:ind w:left="120"/>
      </w:pPr>
    </w:p>
    <w:p w:rsidR="00B6439B" w:rsidRDefault="00F455A6" w:rsidP="00A92505">
      <w:pPr>
        <w:pStyle w:val="40"/>
        <w:shd w:val="clear" w:color="auto" w:fill="auto"/>
        <w:spacing w:before="0" w:after="0" w:line="276" w:lineRule="auto"/>
        <w:ind w:left="120"/>
      </w:pPr>
      <w:r>
        <w:t>ПЕРЕЧЕНЬ</w:t>
      </w:r>
    </w:p>
    <w:p w:rsidR="00B6439B" w:rsidRDefault="00F455A6" w:rsidP="00A92505">
      <w:pPr>
        <w:pStyle w:val="40"/>
        <w:shd w:val="clear" w:color="auto" w:fill="auto"/>
        <w:spacing w:before="0" w:after="0" w:line="276" w:lineRule="auto"/>
        <w:ind w:left="120"/>
      </w:pPr>
      <w:r>
        <w:t>товаров, из которых создается обменный фонд</w:t>
      </w:r>
    </w:p>
    <w:p w:rsidR="00A92505" w:rsidRDefault="00A92505" w:rsidP="00A92505">
      <w:pPr>
        <w:pStyle w:val="40"/>
        <w:shd w:val="clear" w:color="auto" w:fill="auto"/>
        <w:spacing w:before="0" w:after="0" w:line="276" w:lineRule="auto"/>
        <w:ind w:left="120"/>
      </w:pP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Телевизоры.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Магнитолы.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Магнитофоны.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Радиоприемники.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Холодильники.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Морозильники.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Стиральные машины.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Микроволновые печи.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Кухонные машины.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Вязальные машины.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Пылесосы.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Электроутюги.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proofErr w:type="spellStart"/>
      <w:r>
        <w:t>Электромиксеры</w:t>
      </w:r>
      <w:proofErr w:type="spellEnd"/>
      <w:r>
        <w:t>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proofErr w:type="spellStart"/>
      <w:r>
        <w:t>Электросоковыжималки</w:t>
      </w:r>
      <w:proofErr w:type="spellEnd"/>
      <w:r>
        <w:t>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Электрочайники.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proofErr w:type="spellStart"/>
      <w:r>
        <w:t>Электрофены</w:t>
      </w:r>
      <w:proofErr w:type="spellEnd"/>
      <w:r>
        <w:t>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proofErr w:type="spellStart"/>
      <w:r>
        <w:t>Электрокофеварки</w:t>
      </w:r>
      <w:proofErr w:type="spellEnd"/>
      <w:r>
        <w:t>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Аппараты телефонные, в том числе мобильной связи.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Персональные компьютеры и комплектующие части к ним.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jc w:val="both"/>
      </w:pPr>
      <w:r>
        <w:t>Переносные и планшетные компьютеры.</w:t>
      </w:r>
    </w:p>
    <w:p w:rsidR="00B6439B" w:rsidRDefault="00F455A6" w:rsidP="00A92505">
      <w:pPr>
        <w:pStyle w:val="23"/>
        <w:numPr>
          <w:ilvl w:val="0"/>
          <w:numId w:val="3"/>
        </w:numPr>
        <w:shd w:val="clear" w:color="auto" w:fill="auto"/>
        <w:tabs>
          <w:tab w:val="left" w:pos="684"/>
        </w:tabs>
        <w:spacing w:before="0" w:after="0" w:line="276" w:lineRule="auto"/>
        <w:sectPr w:rsidR="00B6439B">
          <w:pgSz w:w="11900" w:h="16840"/>
          <w:pgMar w:top="1275" w:right="414" w:bottom="1275" w:left="1664" w:header="0" w:footer="3" w:gutter="0"/>
          <w:cols w:space="720"/>
          <w:noEndnote/>
          <w:docGrid w:linePitch="360"/>
        </w:sectPr>
      </w:pPr>
      <w:r>
        <w:t>Аппаратура для фото- и видеозаписи и воспроизведения изображения и звука.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6000"/>
      </w:pPr>
      <w:r>
        <w:lastRenderedPageBreak/>
        <w:t>Приложение 3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6000"/>
      </w:pPr>
      <w:r>
        <w:t>к Постановлению Совета Министров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6000"/>
      </w:pPr>
      <w:r>
        <w:t>Донецкой Народной Республи</w:t>
      </w:r>
      <w:r>
        <w:t>ки</w:t>
      </w:r>
    </w:p>
    <w:p w:rsidR="00B6439B" w:rsidRDefault="00F455A6" w:rsidP="00A92505">
      <w:pPr>
        <w:pStyle w:val="30"/>
        <w:shd w:val="clear" w:color="auto" w:fill="auto"/>
        <w:spacing w:line="276" w:lineRule="auto"/>
        <w:ind w:left="6000"/>
      </w:pPr>
      <w:r>
        <w:t>от 31 мая 2016 г. № 7-22 (пункт 3)</w:t>
      </w:r>
    </w:p>
    <w:p w:rsidR="00A92505" w:rsidRDefault="00A92505" w:rsidP="00A92505">
      <w:pPr>
        <w:pStyle w:val="30"/>
        <w:shd w:val="clear" w:color="auto" w:fill="auto"/>
        <w:spacing w:line="276" w:lineRule="auto"/>
        <w:ind w:left="6000"/>
      </w:pPr>
    </w:p>
    <w:p w:rsidR="00B6439B" w:rsidRDefault="00F455A6" w:rsidP="00A92505">
      <w:pPr>
        <w:pStyle w:val="40"/>
        <w:shd w:val="clear" w:color="auto" w:fill="auto"/>
        <w:spacing w:before="0" w:after="0" w:line="276" w:lineRule="auto"/>
        <w:ind w:left="100"/>
      </w:pPr>
      <w:r>
        <w:t>ПЕРЕЧЕНЬ</w:t>
      </w:r>
    </w:p>
    <w:p w:rsidR="00B6439B" w:rsidRDefault="00F455A6" w:rsidP="00A92505">
      <w:pPr>
        <w:pStyle w:val="40"/>
        <w:shd w:val="clear" w:color="auto" w:fill="auto"/>
        <w:spacing w:before="0" w:after="0" w:line="276" w:lineRule="auto"/>
        <w:ind w:left="100"/>
      </w:pPr>
      <w:r>
        <w:t>товаров надлежащего качества, не подлежащих обмену (возврату)</w:t>
      </w:r>
    </w:p>
    <w:p w:rsidR="00A92505" w:rsidRDefault="00A92505" w:rsidP="00A92505">
      <w:pPr>
        <w:pStyle w:val="40"/>
        <w:shd w:val="clear" w:color="auto" w:fill="auto"/>
        <w:spacing w:before="0" w:after="0" w:line="276" w:lineRule="auto"/>
        <w:ind w:left="100"/>
      </w:pP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63"/>
        </w:tabs>
        <w:spacing w:before="0" w:after="0" w:line="276" w:lineRule="auto"/>
        <w:ind w:firstLine="760"/>
        <w:jc w:val="both"/>
      </w:pPr>
      <w:r>
        <w:t>Продовольственные товары.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spacing w:before="0" w:after="0" w:line="276" w:lineRule="auto"/>
        <w:ind w:right="140" w:firstLine="760"/>
        <w:jc w:val="both"/>
      </w:pPr>
      <w:r>
        <w:t xml:space="preserve"> Товары для профилактики и лечения заболеваний в домашних условиях (предметы санитарии и гигиены из металла, резины, текстиля и других материалов, инструменты, приборы и аппаратура медицинские, средства гигиены полости рта, линзы очковые, предметы по уходу</w:t>
      </w:r>
      <w:r>
        <w:t xml:space="preserve"> за детьми), лекарственные препараты.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 w:line="276" w:lineRule="auto"/>
        <w:ind w:right="140" w:firstLine="760"/>
        <w:jc w:val="both"/>
      </w:pPr>
      <w:proofErr w:type="gramStart"/>
      <w:r>
        <w:t>Предметы личной гигиены (зубные щетки, инструменты для маникюра, педикюра, расчески, заколки, бигуди для волос, парики, шиньоны и другие аналогичные товары, мундштуки, аппараты и помазки для бритья, сурдины (для духовы</w:t>
      </w:r>
      <w:r>
        <w:t>х музыкальных инструментов), скрипичные подбородки.</w:t>
      </w:r>
      <w:proofErr w:type="gramEnd"/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276" w:lineRule="auto"/>
        <w:ind w:firstLine="760"/>
        <w:jc w:val="both"/>
      </w:pPr>
      <w:r>
        <w:t>Парфюмерно-косметические товары.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42"/>
        </w:tabs>
        <w:spacing w:before="0" w:after="0" w:line="276" w:lineRule="auto"/>
        <w:ind w:right="140" w:firstLine="760"/>
        <w:jc w:val="both"/>
      </w:pPr>
      <w:proofErr w:type="gramStart"/>
      <w:r>
        <w:t xml:space="preserve">Метражные товары (ткани из волокон всех видов, трикотажное и гардинное полотно, мех искусственный, ковровые изделия, нетканые материалы, ленты, кружево, тесьма, провода, </w:t>
      </w:r>
      <w:r>
        <w:t>шнуры, кабели, линолеум, багет, пленка, клеенка и другие товары, отпускаемые на метраж).</w:t>
      </w:r>
      <w:proofErr w:type="gramEnd"/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0" w:line="276" w:lineRule="auto"/>
        <w:ind w:right="140" w:firstLine="760"/>
        <w:jc w:val="both"/>
      </w:pPr>
      <w:r>
        <w:t>Швейные и трикотажные изделия (изделия швейные и трикотажные бельевые, белье нательное, белье для новорожденных и детей ясельного возраста из всех видов тканей, издели</w:t>
      </w:r>
      <w:r>
        <w:t>я чулочно-носочные), корсетные товары, перчатки.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0" w:line="276" w:lineRule="auto"/>
        <w:ind w:right="140" w:firstLine="760"/>
        <w:jc w:val="both"/>
      </w:pPr>
      <w:r>
        <w:t>Товары для новорожденных (пеленки, соски, бутылочки для кормления и т.п.), мягкие и резиновые надувные детские игрушки.</w:t>
      </w:r>
    </w:p>
    <w:p w:rsidR="00A92505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76" w:lineRule="auto"/>
        <w:ind w:right="140" w:firstLine="760"/>
        <w:jc w:val="both"/>
      </w:pPr>
      <w:r>
        <w:t>Изделия и материалы, контактирующие с пищевыми продуктами, из поли</w:t>
      </w:r>
      <w:r>
        <w:t>мерных материалов, в том числе для разового использования (посуда и принадлежности столовые и кухонные, емкости и упаковочные материалы для хранения и транспортирования пищевых продуктов).</w:t>
      </w:r>
      <w:r w:rsidR="00A92505">
        <w:t xml:space="preserve"> 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11"/>
        </w:tabs>
        <w:spacing w:before="0" w:after="0" w:line="276" w:lineRule="auto"/>
        <w:ind w:firstLine="760"/>
        <w:jc w:val="both"/>
      </w:pPr>
      <w:r>
        <w:t xml:space="preserve">Товары бытовой химии, пестициды и </w:t>
      </w:r>
      <w:proofErr w:type="spellStart"/>
      <w:r>
        <w:t>агрохимикаты</w:t>
      </w:r>
      <w:proofErr w:type="spellEnd"/>
      <w:r>
        <w:t>, лакокрасочные матер</w:t>
      </w:r>
      <w:r>
        <w:t>иалы.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  <w:jc w:val="both"/>
      </w:pPr>
      <w:r>
        <w:t>Мебель бытовая (мебельные гарнитуры и комплекты).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  <w:jc w:val="both"/>
      </w:pPr>
      <w:r>
        <w:t xml:space="preserve">Изделия из драгоценных металлов, с драгоценными камнями, из драгоценных металлов со вставками из полудрагоценных и синтетических камней, ограненные драгоценные камни, изделия из жемчуга и янтаря, </w:t>
      </w:r>
      <w:r>
        <w:t>бижутерия.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  <w:jc w:val="both"/>
      </w:pPr>
      <w:r>
        <w:lastRenderedPageBreak/>
        <w:t xml:space="preserve">Автомобили и </w:t>
      </w:r>
      <w:proofErr w:type="spellStart"/>
      <w:r>
        <w:t>мотовелотовары</w:t>
      </w:r>
      <w:proofErr w:type="spellEnd"/>
      <w:r>
        <w:t xml:space="preserve">, прицепы и номерные агрегаты к ним; мобильные средства малой механизации сельскохозяйственных работ; прогулочные суда и иные </w:t>
      </w:r>
      <w:proofErr w:type="spellStart"/>
      <w:r>
        <w:t>плавсредства</w:t>
      </w:r>
      <w:proofErr w:type="spellEnd"/>
      <w:r>
        <w:t xml:space="preserve"> бытового назначения.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  <w:jc w:val="both"/>
      </w:pPr>
      <w:r>
        <w:t xml:space="preserve">Технически сложные товары бытового назначения, на которые </w:t>
      </w:r>
      <w:r>
        <w:t>установлены гарантийные сроки (станки металлорежущие и деревообрабатывающие бытовые; электробытовые машины и приборы; бытовая радиоэлектронная аппаратура; бытовая вычислительная и множительная техника; фото- и киноаппаратура; телефонные аппараты и факсимил</w:t>
      </w:r>
      <w:r>
        <w:t>ьная аппаратура; электромузыкальные инструменты; игрушки электронные, бытовое газовое оборудование и устройства).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  <w:jc w:val="both"/>
      </w:pPr>
      <w:r>
        <w:t>Фотопленки, фотопластинки, фотографическая бумага, аудио-, видеокассеты, диски для лазерных систем считывания с записью.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62"/>
        </w:tabs>
        <w:spacing w:before="0" w:after="0" w:line="276" w:lineRule="auto"/>
        <w:ind w:firstLine="760"/>
        <w:jc w:val="both"/>
      </w:pPr>
      <w:r>
        <w:t>Гражданское оружие, о</w:t>
      </w:r>
      <w:r>
        <w:t>сновные части гражданского и служебного огнестрельного оружия, патроны к нему, порох, пиротехнические изделия.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  <w:jc w:val="both"/>
      </w:pPr>
      <w:r>
        <w:t>Животные и корма для них, растения.</w:t>
      </w:r>
    </w:p>
    <w:p w:rsidR="00B6439B" w:rsidRDefault="00F455A6" w:rsidP="00A92505">
      <w:pPr>
        <w:pStyle w:val="23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  <w:jc w:val="both"/>
      </w:pPr>
      <w:proofErr w:type="gramStart"/>
      <w:r>
        <w:t xml:space="preserve">Печатные и непериодические издания (книги, брошюры, альбомы, картографические и нотные издания, листовые </w:t>
      </w:r>
      <w:r>
        <w:t>издания, календари, буклеты, издания, воспроизведенные на технических носителях информации).</w:t>
      </w:r>
      <w:proofErr w:type="gramEnd"/>
    </w:p>
    <w:sectPr w:rsidR="00B6439B">
      <w:headerReference w:type="default" r:id="rId12"/>
      <w:pgSz w:w="11900" w:h="16840"/>
      <w:pgMar w:top="1258" w:right="439" w:bottom="917" w:left="16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A6" w:rsidRDefault="00F455A6">
      <w:r>
        <w:separator/>
      </w:r>
    </w:p>
  </w:endnote>
  <w:endnote w:type="continuationSeparator" w:id="0">
    <w:p w:rsidR="00F455A6" w:rsidRDefault="00F4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A6" w:rsidRDefault="00F455A6"/>
  </w:footnote>
  <w:footnote w:type="continuationSeparator" w:id="0">
    <w:p w:rsidR="00F455A6" w:rsidRDefault="00F455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9B" w:rsidRDefault="00F455A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4pt;margin-top:46.1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439B" w:rsidRDefault="00F455A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61FB"/>
    <w:multiLevelType w:val="multilevel"/>
    <w:tmpl w:val="2F682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D12701"/>
    <w:multiLevelType w:val="multilevel"/>
    <w:tmpl w:val="00FCF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62095F"/>
    <w:multiLevelType w:val="multilevel"/>
    <w:tmpl w:val="7714B0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4A484A"/>
    <w:multiLevelType w:val="multilevel"/>
    <w:tmpl w:val="2010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439B"/>
    <w:rsid w:val="002B44D6"/>
    <w:rsid w:val="007F5259"/>
    <w:rsid w:val="00A92505"/>
    <w:rsid w:val="00B6439B"/>
    <w:rsid w:val="00BE4094"/>
    <w:rsid w:val="00D528A6"/>
    <w:rsid w:val="00F4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180" w:line="35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65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6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3-ihc-o-zashhite-prav-potrebitelej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2019-10-01T11:12:00Z</dcterms:created>
  <dcterms:modified xsi:type="dcterms:W3CDTF">2019-10-01T11:27:00Z</dcterms:modified>
</cp:coreProperties>
</file>