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B2" w:rsidRDefault="002832B2" w:rsidP="002832B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1920E3C0" wp14:editId="1DCDEBF5">
            <wp:extent cx="1057275" cy="904875"/>
            <wp:effectExtent l="0" t="0" r="9525" b="9525"/>
            <wp:docPr id="1" name="Рисунок 1" descr="https://dnronline.s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online.s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36" w:rsidRDefault="00013097" w:rsidP="002832B2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70636" w:rsidRDefault="00013097" w:rsidP="002832B2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832B2" w:rsidRDefault="002832B2" w:rsidP="002832B2">
      <w:pPr>
        <w:pStyle w:val="10"/>
        <w:keepNext/>
        <w:keepLines/>
        <w:shd w:val="clear" w:color="auto" w:fill="auto"/>
        <w:spacing w:after="0" w:line="276" w:lineRule="auto"/>
      </w:pPr>
    </w:p>
    <w:p w:rsidR="00E70636" w:rsidRDefault="00013097" w:rsidP="002832B2">
      <w:pPr>
        <w:pStyle w:val="30"/>
        <w:keepNext/>
        <w:keepLines/>
        <w:shd w:val="clear" w:color="auto" w:fill="auto"/>
        <w:spacing w:before="0"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ПОСТАНОВЛЕНИЕ</w:t>
      </w:r>
    </w:p>
    <w:p w:rsidR="002832B2" w:rsidRDefault="002832B2" w:rsidP="002832B2">
      <w:pPr>
        <w:pStyle w:val="30"/>
        <w:keepNext/>
        <w:keepLines/>
        <w:shd w:val="clear" w:color="auto" w:fill="auto"/>
        <w:spacing w:before="0" w:after="0" w:line="276" w:lineRule="auto"/>
      </w:pPr>
    </w:p>
    <w:p w:rsidR="00E70636" w:rsidRDefault="00013097" w:rsidP="002832B2">
      <w:pPr>
        <w:pStyle w:val="20"/>
        <w:keepNext/>
        <w:keepLines/>
        <w:shd w:val="clear" w:color="auto" w:fill="auto"/>
        <w:spacing w:before="0" w:line="276" w:lineRule="auto"/>
        <w:jc w:val="center"/>
        <w:rPr>
          <w:rStyle w:val="214pt0pt"/>
        </w:rPr>
      </w:pPr>
      <w:bookmarkStart w:id="2" w:name="bookmark2"/>
      <w:r>
        <w:rPr>
          <w:rStyle w:val="214pt0pt"/>
        </w:rPr>
        <w:t>от 31 мая 2016 г. № 7-59</w:t>
      </w:r>
      <w:bookmarkEnd w:id="2"/>
    </w:p>
    <w:p w:rsidR="002832B2" w:rsidRDefault="002832B2" w:rsidP="002832B2">
      <w:pPr>
        <w:pStyle w:val="20"/>
        <w:keepNext/>
        <w:keepLines/>
        <w:shd w:val="clear" w:color="auto" w:fill="auto"/>
        <w:spacing w:before="0" w:line="276" w:lineRule="auto"/>
        <w:jc w:val="center"/>
        <w:rPr>
          <w:rStyle w:val="214pt0pt"/>
        </w:rPr>
      </w:pPr>
    </w:p>
    <w:p w:rsidR="002832B2" w:rsidRDefault="002832B2" w:rsidP="002832B2">
      <w:pPr>
        <w:pStyle w:val="20"/>
        <w:keepNext/>
        <w:keepLines/>
        <w:shd w:val="clear" w:color="auto" w:fill="auto"/>
        <w:spacing w:before="0" w:line="276" w:lineRule="auto"/>
        <w:jc w:val="center"/>
      </w:pPr>
    </w:p>
    <w:p w:rsidR="00E70636" w:rsidRDefault="00013097" w:rsidP="002832B2">
      <w:pPr>
        <w:pStyle w:val="33"/>
        <w:shd w:val="clear" w:color="auto" w:fill="auto"/>
        <w:spacing w:before="0" w:after="0" w:line="276" w:lineRule="auto"/>
        <w:rPr>
          <w:rStyle w:val="34"/>
          <w:b/>
          <w:bCs/>
        </w:rPr>
      </w:pPr>
      <w:r>
        <w:rPr>
          <w:rStyle w:val="34"/>
          <w:b/>
          <w:bCs/>
        </w:rPr>
        <w:t>Об утверждении Порядка формирования Единого перечня торговых</w:t>
      </w:r>
      <w:r>
        <w:rPr>
          <w:rStyle w:val="34"/>
          <w:b/>
          <w:bCs/>
        </w:rPr>
        <w:br/>
        <w:t>предприятий, которым предоставляется право проводить продажу</w:t>
      </w:r>
      <w:r>
        <w:rPr>
          <w:rStyle w:val="34"/>
          <w:b/>
          <w:bCs/>
        </w:rPr>
        <w:br/>
        <w:t xml:space="preserve">бесхозяйного, </w:t>
      </w:r>
      <w:r>
        <w:rPr>
          <w:rStyle w:val="34"/>
          <w:b/>
          <w:bCs/>
        </w:rPr>
        <w:t>конфискованного и другого имущества, которое переходит в</w:t>
      </w:r>
      <w:r>
        <w:rPr>
          <w:rStyle w:val="34"/>
          <w:b/>
          <w:bCs/>
        </w:rPr>
        <w:br/>
        <w:t>собственность Донецкой Народной Республики</w:t>
      </w:r>
    </w:p>
    <w:p w:rsidR="002832B2" w:rsidRDefault="002832B2" w:rsidP="002832B2">
      <w:pPr>
        <w:pStyle w:val="33"/>
        <w:shd w:val="clear" w:color="auto" w:fill="auto"/>
        <w:spacing w:before="0" w:after="0" w:line="276" w:lineRule="auto"/>
        <w:rPr>
          <w:rStyle w:val="34"/>
          <w:b/>
          <w:bCs/>
        </w:rPr>
      </w:pPr>
    </w:p>
    <w:p w:rsidR="002832B2" w:rsidRDefault="002832B2" w:rsidP="002832B2">
      <w:pPr>
        <w:pStyle w:val="33"/>
        <w:shd w:val="clear" w:color="auto" w:fill="auto"/>
        <w:spacing w:before="0" w:after="0" w:line="276" w:lineRule="auto"/>
      </w:pP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rPr>
          <w:rStyle w:val="23"/>
        </w:rPr>
        <w:t xml:space="preserve">Во исполнение и с целью реализации норм главы 10-3 </w:t>
      </w:r>
      <w:hyperlink r:id="rId9" w:history="1">
        <w:r w:rsidRPr="00023C48">
          <w:rPr>
            <w:rStyle w:val="a3"/>
          </w:rPr>
          <w:t xml:space="preserve">Закона Донецкой Народной Республики от 25.12.2015 № </w:t>
        </w:r>
        <w:r w:rsidRPr="00023C48">
          <w:rPr>
            <w:rStyle w:val="a3"/>
            <w:lang w:eastAsia="en-US" w:bidi="en-US"/>
          </w:rPr>
          <w:t>99-</w:t>
        </w:r>
        <w:r w:rsidRPr="00023C48">
          <w:rPr>
            <w:rStyle w:val="a3"/>
            <w:lang w:val="en-US" w:eastAsia="en-US" w:bidi="en-US"/>
          </w:rPr>
          <w:t>IHC</w:t>
        </w:r>
        <w:r w:rsidRPr="00023C48">
          <w:rPr>
            <w:rStyle w:val="a3"/>
            <w:lang w:eastAsia="en-US" w:bidi="en-US"/>
          </w:rPr>
          <w:t xml:space="preserve"> </w:t>
        </w:r>
        <w:r w:rsidRPr="00023C48">
          <w:rPr>
            <w:rStyle w:val="a3"/>
          </w:rPr>
          <w:t>«О налоговой системе»</w:t>
        </w:r>
      </w:hyperlink>
      <w:r>
        <w:rPr>
          <w:rStyle w:val="23"/>
        </w:rPr>
        <w:t>, Совет Министров Донецко</w:t>
      </w:r>
      <w:r>
        <w:rPr>
          <w:rStyle w:val="23"/>
        </w:rPr>
        <w:t>й Народной Республики</w:t>
      </w:r>
    </w:p>
    <w:p w:rsidR="00E70636" w:rsidRDefault="00013097" w:rsidP="002832B2">
      <w:pPr>
        <w:pStyle w:val="20"/>
        <w:keepNext/>
        <w:keepLines/>
        <w:shd w:val="clear" w:color="auto" w:fill="auto"/>
        <w:spacing w:before="0" w:line="276" w:lineRule="auto"/>
        <w:rPr>
          <w:rStyle w:val="214pt0pt"/>
        </w:rPr>
      </w:pPr>
      <w:bookmarkStart w:id="3" w:name="bookmark3"/>
      <w:r>
        <w:rPr>
          <w:rStyle w:val="214pt0pt"/>
        </w:rPr>
        <w:t>ПОСТАНОВЛЯЕТ:</w:t>
      </w:r>
      <w:bookmarkEnd w:id="3"/>
    </w:p>
    <w:p w:rsidR="002832B2" w:rsidRDefault="002832B2" w:rsidP="002832B2">
      <w:pPr>
        <w:pStyle w:val="20"/>
        <w:keepNext/>
        <w:keepLines/>
        <w:shd w:val="clear" w:color="auto" w:fill="auto"/>
        <w:spacing w:before="0" w:line="276" w:lineRule="auto"/>
      </w:pPr>
    </w:p>
    <w:p w:rsidR="00E70636" w:rsidRDefault="00013097" w:rsidP="002832B2">
      <w:pPr>
        <w:pStyle w:val="22"/>
        <w:numPr>
          <w:ilvl w:val="0"/>
          <w:numId w:val="1"/>
        </w:numPr>
        <w:shd w:val="clear" w:color="auto" w:fill="auto"/>
        <w:tabs>
          <w:tab w:val="left" w:pos="1093"/>
        </w:tabs>
        <w:spacing w:before="0" w:after="0" w:line="276" w:lineRule="auto"/>
        <w:ind w:firstLine="760"/>
        <w:jc w:val="both"/>
      </w:pPr>
      <w:r>
        <w:rPr>
          <w:rStyle w:val="23"/>
        </w:rPr>
        <w:t xml:space="preserve">Утвердить Порядок формирования Единого перечня торговых предприятий, которым предоставляется право проводить продажу бесхозяйного, конфискованного и другого имущества, которое переходит в собственность Донецкой Народной </w:t>
      </w:r>
      <w:r>
        <w:rPr>
          <w:rStyle w:val="23"/>
        </w:rPr>
        <w:t>Республики (прилагается).</w:t>
      </w:r>
    </w:p>
    <w:p w:rsidR="002832B2" w:rsidRDefault="00013097" w:rsidP="002832B2">
      <w:pPr>
        <w:pStyle w:val="22"/>
        <w:numPr>
          <w:ilvl w:val="0"/>
          <w:numId w:val="1"/>
        </w:numPr>
        <w:shd w:val="clear" w:color="auto" w:fill="auto"/>
        <w:tabs>
          <w:tab w:val="left" w:pos="1098"/>
        </w:tabs>
        <w:spacing w:before="0" w:after="0" w:line="276" w:lineRule="auto"/>
        <w:ind w:firstLine="760"/>
        <w:jc w:val="both"/>
        <w:rPr>
          <w:rStyle w:val="23"/>
        </w:rPr>
      </w:pPr>
      <w:r>
        <w:rPr>
          <w:rStyle w:val="23"/>
        </w:rPr>
        <w:t>Настоящее Постановление вступает в силу со дня официального опубликования.</w:t>
      </w:r>
      <w:bookmarkStart w:id="4" w:name="bookmark4"/>
    </w:p>
    <w:p w:rsidR="002832B2" w:rsidRDefault="002832B2" w:rsidP="002832B2">
      <w:pPr>
        <w:pStyle w:val="22"/>
        <w:shd w:val="clear" w:color="auto" w:fill="auto"/>
        <w:tabs>
          <w:tab w:val="left" w:pos="1098"/>
        </w:tabs>
        <w:spacing w:before="0" w:after="0" w:line="276" w:lineRule="auto"/>
        <w:ind w:left="760"/>
        <w:jc w:val="both"/>
        <w:rPr>
          <w:rStyle w:val="23"/>
        </w:rPr>
      </w:pPr>
    </w:p>
    <w:p w:rsidR="002832B2" w:rsidRDefault="002832B2" w:rsidP="002832B2">
      <w:pPr>
        <w:pStyle w:val="22"/>
        <w:shd w:val="clear" w:color="auto" w:fill="auto"/>
        <w:tabs>
          <w:tab w:val="left" w:pos="1098"/>
        </w:tabs>
        <w:spacing w:before="0" w:after="0" w:line="276" w:lineRule="auto"/>
        <w:ind w:left="760"/>
        <w:jc w:val="both"/>
        <w:rPr>
          <w:rStyle w:val="23"/>
        </w:rPr>
      </w:pPr>
    </w:p>
    <w:p w:rsidR="002832B2" w:rsidRPr="002832B2" w:rsidRDefault="00013097" w:rsidP="002832B2">
      <w:pPr>
        <w:pStyle w:val="22"/>
        <w:shd w:val="clear" w:color="auto" w:fill="auto"/>
        <w:tabs>
          <w:tab w:val="left" w:pos="1098"/>
        </w:tabs>
        <w:spacing w:before="0" w:after="0" w:line="276" w:lineRule="auto"/>
        <w:jc w:val="both"/>
        <w:rPr>
          <w:rStyle w:val="4Exact0"/>
          <w:b w:val="0"/>
          <w:bCs w:val="0"/>
        </w:rPr>
      </w:pPr>
      <w:r w:rsidRPr="002832B2">
        <w:rPr>
          <w:rStyle w:val="214pt0pt"/>
        </w:rPr>
        <w:t xml:space="preserve">Председатель </w:t>
      </w:r>
      <w:r w:rsidR="002832B2" w:rsidRPr="002832B2">
        <w:rPr>
          <w:rStyle w:val="214pt0pt"/>
        </w:rPr>
        <w:br/>
      </w:r>
      <w:r w:rsidRPr="002832B2">
        <w:rPr>
          <w:rStyle w:val="214pt0pt"/>
        </w:rPr>
        <w:t>Совета Министро</w:t>
      </w:r>
      <w:bookmarkEnd w:id="4"/>
      <w:r w:rsidR="002832B2" w:rsidRPr="002832B2">
        <w:rPr>
          <w:rStyle w:val="214pt0pt"/>
        </w:rPr>
        <w:t>в</w:t>
      </w:r>
      <w:r w:rsidR="002832B2">
        <w:rPr>
          <w:rStyle w:val="214pt0pt"/>
        </w:rPr>
        <w:t xml:space="preserve">                                                                      </w:t>
      </w:r>
      <w:r w:rsidR="002832B2" w:rsidRPr="002832B2">
        <w:rPr>
          <w:rStyle w:val="4Exact0"/>
        </w:rPr>
        <w:t>А.</w:t>
      </w:r>
      <w:r w:rsidR="002832B2" w:rsidRPr="002832B2">
        <w:rPr>
          <w:rStyle w:val="4Exact0"/>
        </w:rPr>
        <w:t xml:space="preserve"> </w:t>
      </w:r>
      <w:r w:rsidR="002832B2" w:rsidRPr="002832B2">
        <w:rPr>
          <w:rStyle w:val="4Exact0"/>
        </w:rPr>
        <w:t>В. Захарченко</w:t>
      </w: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ind w:left="5980"/>
      </w:pP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ind w:left="5980"/>
      </w:pP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ind w:left="5980"/>
      </w:pP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ind w:left="5980"/>
      </w:pP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left="5980"/>
      </w:pPr>
      <w:r>
        <w:t>УТВЕРЖДЕН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left="5980"/>
      </w:pPr>
      <w:r>
        <w:t>Постановлением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left="5980"/>
      </w:pPr>
      <w:r>
        <w:t>Совета Министров Донецкой Народной Республики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left="5980"/>
      </w:pPr>
      <w:r>
        <w:t>от 31 мая 2016 г. № 7-59</w:t>
      </w: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jc w:val="center"/>
        <w:rPr>
          <w:rStyle w:val="24"/>
        </w:rPr>
      </w:pP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jc w:val="center"/>
      </w:pPr>
      <w:r>
        <w:rPr>
          <w:rStyle w:val="24"/>
        </w:rPr>
        <w:t>ПОРЯДОК</w:t>
      </w:r>
    </w:p>
    <w:p w:rsidR="00E70636" w:rsidRDefault="00013097" w:rsidP="002832B2">
      <w:pPr>
        <w:pStyle w:val="33"/>
        <w:shd w:val="clear" w:color="auto" w:fill="auto"/>
        <w:spacing w:before="0" w:after="0" w:line="276" w:lineRule="auto"/>
      </w:pPr>
      <w:r>
        <w:t>формирования Единого перечня торговых предприятий,</w:t>
      </w:r>
      <w:r>
        <w:br/>
        <w:t>которым предоставляется право проводить продажу бесхозяйного,</w:t>
      </w:r>
      <w:r>
        <w:br/>
        <w:t>конфискованного и другого имущества, которое переходит в собственность</w:t>
      </w:r>
    </w:p>
    <w:p w:rsidR="00E70636" w:rsidRDefault="00013097" w:rsidP="002832B2">
      <w:pPr>
        <w:pStyle w:val="33"/>
        <w:shd w:val="clear" w:color="auto" w:fill="auto"/>
        <w:spacing w:before="0" w:after="0" w:line="276" w:lineRule="auto"/>
      </w:pPr>
      <w:r>
        <w:t>Донецкой Народной Республики</w:t>
      </w:r>
    </w:p>
    <w:p w:rsidR="002832B2" w:rsidRDefault="002832B2" w:rsidP="002832B2">
      <w:pPr>
        <w:pStyle w:val="33"/>
        <w:shd w:val="clear" w:color="auto" w:fill="auto"/>
        <w:spacing w:before="0" w:after="0" w:line="276" w:lineRule="auto"/>
      </w:pPr>
    </w:p>
    <w:p w:rsidR="00E70636" w:rsidRDefault="00013097" w:rsidP="002832B2">
      <w:pPr>
        <w:pStyle w:val="40"/>
        <w:keepNext/>
        <w:keepLines/>
        <w:numPr>
          <w:ilvl w:val="0"/>
          <w:numId w:val="2"/>
        </w:numPr>
        <w:shd w:val="clear" w:color="auto" w:fill="auto"/>
        <w:tabs>
          <w:tab w:val="left" w:pos="3858"/>
        </w:tabs>
        <w:spacing w:before="0" w:after="0" w:line="276" w:lineRule="auto"/>
        <w:ind w:left="3560"/>
        <w:jc w:val="both"/>
      </w:pPr>
      <w:bookmarkStart w:id="5" w:name="bookmark5"/>
      <w:r>
        <w:t>Общие положения</w:t>
      </w:r>
      <w:bookmarkEnd w:id="5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858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0"/>
          <w:numId w:val="3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>Порядок формирования Единог</w:t>
      </w:r>
      <w:r>
        <w:t xml:space="preserve">о перечня торговых предприятий, которым предоставляется право проводить продажу бесхозяйного, конфискованного и другого имущества, которое переходит в собственность Донецкой Народной Республики (далее - Порядок), разработан во исполнение главы 10-3 </w:t>
      </w:r>
      <w:hyperlink r:id="rId10" w:history="1">
        <w:r w:rsidRPr="00023C48">
          <w:rPr>
            <w:rStyle w:val="a3"/>
          </w:rPr>
          <w:t xml:space="preserve">Закона </w:t>
        </w:r>
        <w:r w:rsidRPr="00023C48">
          <w:rPr>
            <w:rStyle w:val="a3"/>
          </w:rPr>
          <w:t xml:space="preserve">Донецкой Народной Республики от 25.12.2015 № </w:t>
        </w:r>
        <w:r w:rsidRPr="00023C48">
          <w:rPr>
            <w:rStyle w:val="a3"/>
            <w:lang w:eastAsia="en-US" w:bidi="en-US"/>
          </w:rPr>
          <w:t>99-</w:t>
        </w:r>
        <w:r w:rsidRPr="00023C48">
          <w:rPr>
            <w:rStyle w:val="a3"/>
            <w:lang w:val="en-US" w:eastAsia="en-US" w:bidi="en-US"/>
          </w:rPr>
          <w:t>IHC</w:t>
        </w:r>
        <w:r w:rsidRPr="00023C48">
          <w:rPr>
            <w:rStyle w:val="a3"/>
            <w:lang w:eastAsia="en-US" w:bidi="en-US"/>
          </w:rPr>
          <w:t xml:space="preserve"> </w:t>
        </w:r>
        <w:r w:rsidRPr="00023C48">
          <w:rPr>
            <w:rStyle w:val="a3"/>
          </w:rPr>
          <w:t>«О налоговой системе»</w:t>
        </w:r>
      </w:hyperlink>
      <w:r>
        <w:t xml:space="preserve"> (далее - Закон).</w:t>
      </w:r>
    </w:p>
    <w:p w:rsidR="00E70636" w:rsidRDefault="00013097" w:rsidP="002832B2">
      <w:pPr>
        <w:pStyle w:val="22"/>
        <w:numPr>
          <w:ilvl w:val="0"/>
          <w:numId w:val="3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 xml:space="preserve">Порядок регламентирует основные требования по организации и проведению формирования Единого перечня торговых предприятий (далее - Единый перечень), которым </w:t>
      </w:r>
      <w:r>
        <w:t>предоставляется право проводить продажу бесхозяйного, конфискованного и другого имущества, которое переходит в собственность Донецкой Народной Республики (далее - имущество).</w:t>
      </w:r>
    </w:p>
    <w:p w:rsidR="00E70636" w:rsidRDefault="00013097" w:rsidP="002832B2">
      <w:pPr>
        <w:pStyle w:val="22"/>
        <w:numPr>
          <w:ilvl w:val="0"/>
          <w:numId w:val="3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  <w:jc w:val="both"/>
      </w:pPr>
      <w:r>
        <w:t>В Единый перечень могут быть включены субъекты хозяйствования - юридические лица,</w:t>
      </w:r>
      <w:r>
        <w:t xml:space="preserve"> независимо от форм собственности, имеющие право осуществлять реализацию имущества путем проведения биржевых торгов (аукционов), розничной торговли или по прямым договорам купли - продажи, обеспечивающие наиболее полный комплекс услуг по реализации имущест</w:t>
      </w:r>
      <w:r>
        <w:t>ва.</w:t>
      </w:r>
    </w:p>
    <w:p w:rsidR="002832B2" w:rsidRDefault="00013097" w:rsidP="002832B2">
      <w:pPr>
        <w:pStyle w:val="22"/>
        <w:numPr>
          <w:ilvl w:val="0"/>
          <w:numId w:val="3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jc w:val="both"/>
      </w:pPr>
      <w:r>
        <w:t xml:space="preserve">Для включения субъектов хозяйствования в Единый перечень, приказом по Министерству доходов и сборов Донецкой Народной Республики (далее - Министерство) создаётся комиссия в соответствии с пунктом 59.1 статьи 59 </w:t>
      </w:r>
      <w:hyperlink r:id="rId11" w:history="1">
        <w:r w:rsidRPr="00023C48">
          <w:rPr>
            <w:rStyle w:val="a3"/>
          </w:rPr>
          <w:t>Закона</w:t>
        </w:r>
      </w:hyperlink>
      <w:r>
        <w:t>.</w:t>
      </w:r>
      <w:r w:rsidR="002832B2">
        <w:t xml:space="preserve"> </w:t>
      </w:r>
    </w:p>
    <w:p w:rsidR="00E70636" w:rsidRDefault="00013097" w:rsidP="002832B2">
      <w:pPr>
        <w:pStyle w:val="22"/>
        <w:numPr>
          <w:ilvl w:val="0"/>
          <w:numId w:val="3"/>
        </w:numPr>
        <w:shd w:val="clear" w:color="auto" w:fill="auto"/>
        <w:tabs>
          <w:tab w:val="left" w:pos="1278"/>
        </w:tabs>
        <w:spacing w:before="0" w:after="0" w:line="276" w:lineRule="auto"/>
        <w:ind w:firstLine="760"/>
        <w:jc w:val="both"/>
      </w:pPr>
      <w:r>
        <w:t>Для формировани</w:t>
      </w:r>
      <w:r>
        <w:t xml:space="preserve">я Единого перечня на следующий год комиссия не позднее 1 декабря текущего года размещает на веб-сайте Министерства объявление о проведении конкурса. Первое заседание комиссии проводится не </w:t>
      </w:r>
      <w:r>
        <w:lastRenderedPageBreak/>
        <w:t>позднее 20 декабря текущего года (при наличии заявок).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>Включение пр</w:t>
      </w:r>
      <w:r>
        <w:t>едприятий в Единый перечень или исключение из него может проводиться в течение года.</w:t>
      </w: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ind w:firstLine="760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</w:pPr>
      <w:bookmarkStart w:id="6" w:name="bookmark6"/>
      <w:r>
        <w:t xml:space="preserve">Перечень </w:t>
      </w:r>
      <w:r w:rsidRPr="002832B2">
        <w:rPr>
          <w:rStyle w:val="41"/>
          <w:b/>
        </w:rPr>
        <w:t>документов</w:t>
      </w:r>
      <w:r>
        <w:rPr>
          <w:rStyle w:val="41"/>
        </w:rPr>
        <w:t xml:space="preserve"> </w:t>
      </w:r>
      <w:r>
        <w:t>и критерии отбора торговых предприятий</w:t>
      </w:r>
      <w:bookmarkEnd w:id="6"/>
    </w:p>
    <w:p w:rsidR="002832B2" w:rsidRDefault="002832B2" w:rsidP="002832B2">
      <w:pPr>
        <w:pStyle w:val="40"/>
        <w:keepNext/>
        <w:keepLines/>
        <w:shd w:val="clear" w:color="auto" w:fill="auto"/>
        <w:spacing w:before="0" w:after="0" w:line="276" w:lineRule="auto"/>
      </w:pP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  <w:jc w:val="both"/>
      </w:pPr>
      <w:r>
        <w:t>Для участия в конкурсе, субъекты хозяйствования подают следующие документы: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  <w:jc w:val="both"/>
      </w:pPr>
      <w:r>
        <w:t xml:space="preserve">заявление о включении в Единый </w:t>
      </w:r>
      <w:r>
        <w:t>перечень, в котором указываются полные реквизиты предприятия, адрес, Ф.И.О. руководителя, бухгалтера, их телефоны, адрес электронной почты; адрес собственного или биржевого вебсайта, номера расчетных счетов;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  <w:jc w:val="both"/>
      </w:pPr>
      <w:r>
        <w:t>копию свидетельства о государственной регистраци</w:t>
      </w:r>
      <w:r>
        <w:t>и на территории Донецкой Народной Республики;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50"/>
        </w:tabs>
        <w:spacing w:before="0" w:after="0" w:line="276" w:lineRule="auto"/>
        <w:ind w:firstLine="760"/>
        <w:jc w:val="both"/>
      </w:pPr>
      <w:r>
        <w:t>копии учредительных документов;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  <w:jc w:val="both"/>
      </w:pPr>
      <w:r>
        <w:t>копии лицензий на право осуществления отдельных видов хозяйственной деятельности при их наличии;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15"/>
        </w:tabs>
        <w:spacing w:before="0" w:after="0" w:line="276" w:lineRule="auto"/>
        <w:ind w:firstLine="760"/>
        <w:jc w:val="both"/>
      </w:pPr>
      <w:r>
        <w:t>документы, которые подтверждают возможность проведения биржевых торгов, организац</w:t>
      </w:r>
      <w:proofErr w:type="gramStart"/>
      <w:r>
        <w:t>ии ау</w:t>
      </w:r>
      <w:proofErr w:type="gramEnd"/>
      <w:r>
        <w:t>кционов, ведение розничной торговли (наличие кассового аппарата, торгового зала и т.п.) при их наличии;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06"/>
        </w:tabs>
        <w:spacing w:before="0" w:after="0" w:line="276" w:lineRule="auto"/>
        <w:ind w:firstLine="760"/>
        <w:jc w:val="both"/>
      </w:pPr>
      <w:r>
        <w:t>финансовую отчетность за последний отчетный период, предшествующий дате подачи документов;</w:t>
      </w:r>
    </w:p>
    <w:p w:rsidR="00E70636" w:rsidRDefault="00013097" w:rsidP="002832B2">
      <w:pPr>
        <w:pStyle w:val="22"/>
        <w:numPr>
          <w:ilvl w:val="0"/>
          <w:numId w:val="5"/>
        </w:numPr>
        <w:shd w:val="clear" w:color="auto" w:fill="auto"/>
        <w:tabs>
          <w:tab w:val="left" w:pos="1150"/>
        </w:tabs>
        <w:spacing w:before="0" w:after="0" w:line="276" w:lineRule="auto"/>
        <w:ind w:firstLine="760"/>
        <w:jc w:val="both"/>
      </w:pPr>
      <w:r>
        <w:t>справку о количестве работников на предприятии.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74"/>
        </w:tabs>
        <w:spacing w:before="0" w:after="0" w:line="276" w:lineRule="auto"/>
        <w:ind w:firstLine="760"/>
        <w:jc w:val="both"/>
      </w:pPr>
      <w:r>
        <w:t>Критерии, которые учитываются комиссией при вынесении решения о включении субъектов хозяйствования в Единый перечень:</w:t>
      </w:r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122"/>
        </w:tabs>
        <w:spacing w:before="0" w:after="0" w:line="276" w:lineRule="auto"/>
        <w:ind w:firstLine="760"/>
        <w:jc w:val="both"/>
      </w:pPr>
      <w:r>
        <w:t>опыт работы в соответствующей сфере деятельности;</w:t>
      </w:r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096"/>
        </w:tabs>
        <w:spacing w:before="0" w:after="0" w:line="276" w:lineRule="auto"/>
        <w:ind w:firstLine="760"/>
        <w:jc w:val="both"/>
      </w:pPr>
      <w:r>
        <w:t>наличие брокерского места на бирже, которая имеет право организации и проведения биржевы</w:t>
      </w:r>
      <w:r>
        <w:t xml:space="preserve">х торгов и аукционов. </w:t>
      </w:r>
      <w:proofErr w:type="gramStart"/>
      <w:r>
        <w:t>Этот критерий не обязателен для субъектов хозяйствования, в отношении которых комиссией принято решение о передаче имущества через розничную торговлю или по прямым договорам купли - продажи;</w:t>
      </w:r>
      <w:proofErr w:type="gramEnd"/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101"/>
        </w:tabs>
        <w:spacing w:before="0" w:after="0" w:line="276" w:lineRule="auto"/>
        <w:ind w:firstLine="760"/>
        <w:jc w:val="both"/>
      </w:pPr>
      <w:r>
        <w:t>положительные показатели финансово-хозяйств</w:t>
      </w:r>
      <w:r>
        <w:t>енной деятельности предприятия, подтвержденные финансовой и другой отчетностью (баланс, отчет о финансовых результатах, отчет о движении денежных средств, отчет о собственном капитале и примечания к отчетам);</w:t>
      </w:r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150"/>
        </w:tabs>
        <w:spacing w:before="0" w:after="0" w:line="276" w:lineRule="auto"/>
        <w:ind w:firstLine="760"/>
        <w:jc w:val="both"/>
      </w:pPr>
      <w:r>
        <w:t>отсутствие задолженности по платежам перед бюдж</w:t>
      </w:r>
      <w:r>
        <w:t>етами;</w:t>
      </w:r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150"/>
        </w:tabs>
        <w:spacing w:before="0" w:after="0" w:line="276" w:lineRule="auto"/>
        <w:ind w:firstLine="760"/>
        <w:jc w:val="both"/>
      </w:pPr>
      <w:r>
        <w:t>наличие в штате предприятия не менее 3 работников;</w:t>
      </w:r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  <w:jc w:val="both"/>
      </w:pPr>
      <w:r>
        <w:t>отсутствие нарушений договорных обязатель</w:t>
      </w:r>
      <w:proofErr w:type="gramStart"/>
      <w:r>
        <w:t>ств пр</w:t>
      </w:r>
      <w:proofErr w:type="gramEnd"/>
      <w:r>
        <w:t xml:space="preserve">и хранении и </w:t>
      </w:r>
      <w:r>
        <w:lastRenderedPageBreak/>
        <w:t>реализации имущества в предыдущих годах;</w:t>
      </w:r>
    </w:p>
    <w:p w:rsidR="00E70636" w:rsidRDefault="00013097" w:rsidP="002832B2">
      <w:pPr>
        <w:pStyle w:val="22"/>
        <w:numPr>
          <w:ilvl w:val="0"/>
          <w:numId w:val="6"/>
        </w:numPr>
        <w:shd w:val="clear" w:color="auto" w:fill="auto"/>
        <w:tabs>
          <w:tab w:val="left" w:pos="1116"/>
        </w:tabs>
        <w:spacing w:before="0" w:after="0" w:line="276" w:lineRule="auto"/>
        <w:ind w:firstLine="760"/>
        <w:jc w:val="both"/>
      </w:pPr>
      <w:r>
        <w:t>наличие веб-сайта в сети Интернет.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Структурное подразделение, на которые </w:t>
      </w:r>
      <w:proofErr w:type="gramStart"/>
      <w:r>
        <w:t xml:space="preserve">возложены функции по </w:t>
      </w:r>
      <w:r>
        <w:t>работе с бесхозяйным имуществом готовит</w:t>
      </w:r>
      <w:proofErr w:type="gramEnd"/>
      <w:r>
        <w:t xml:space="preserve"> на заседание комиссии по формированию Единого перечня справку - заключение с анализом полноты представленных документов на конкурс с учетом критериев по каждому субъекту хозяйствования.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>Не допускается отказ по включе</w:t>
      </w:r>
      <w:r>
        <w:t xml:space="preserve">нию в Единый перечень субъектам хозяйствования, которые </w:t>
      </w:r>
      <w:proofErr w:type="gramStart"/>
      <w:r>
        <w:t>предоставили все документы</w:t>
      </w:r>
      <w:proofErr w:type="gramEnd"/>
      <w:r>
        <w:t>, указанные в пункте 2.1 настоящего Порядка, и соответствуют критериям, определенным пунктом 2.2 настоящего Порядка.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>Исключение торговых предприятий из Единого перечня провод</w:t>
      </w:r>
      <w:r>
        <w:t>ится в течение года этой же комиссией по их заявлению или при нарушении ими договорных обязательств, или несоблюдении любого критерия, определенного пунктом 2.2 настоящего Порядка.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>Решение о включении или исключении принимается коллегиально простым большин</w:t>
      </w:r>
      <w:r>
        <w:t>ством голосов присутствующих на заседании членов комиссии. Председатель комиссии имеет решающий голос, если при принятии решения голоса членов комиссии разделились поровну. По окончании заседания комиссии составляется протокол.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Протокол о результатах </w:t>
      </w:r>
      <w:r>
        <w:t>проведения конкурса составляется и подписывается всеми членами комиссии, принимавшими участие в голосовании, и утверждается председателем комиссии.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 xml:space="preserve">Список победителей конкурса в Единый перечень размещается на веб-сайте Министерства по форме в соответствии </w:t>
      </w:r>
      <w:r>
        <w:t>с приложением 1.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  <w:jc w:val="both"/>
      </w:pPr>
      <w:r>
        <w:t>Органы доходов и сборов после размещения реквизитов торгового предприятия в Едином перечне на веб-сайте Министерства имеют право в дальнейшем заключать договора-поручения на реализацию имущества (приложения 2). Размер комиссионного вознагр</w:t>
      </w:r>
      <w:r>
        <w:t>аждения не должен превышать 20 процентов от суммы средств, полученных от реализации имущества.</w:t>
      </w:r>
    </w:p>
    <w:p w:rsidR="00E70636" w:rsidRDefault="00013097" w:rsidP="002832B2">
      <w:pPr>
        <w:pStyle w:val="22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  <w:jc w:val="both"/>
      </w:pPr>
      <w:r>
        <w:t xml:space="preserve">Если </w:t>
      </w:r>
      <w:r>
        <w:t xml:space="preserve">предприятие не включено в Единый перечень на следующий год, но имеет остатки непроданного имущества в предыдущем году, оно проводит мероприятия до полной реализации (распоряжения) такого имущества без права передачи ему нового имущества, или это имущество </w:t>
      </w:r>
      <w:r>
        <w:t>может быть передано другому субъекту хозяйствования</w:t>
      </w:r>
      <w:r>
        <w:t>, включенному в Единый перечень.</w:t>
      </w:r>
    </w:p>
    <w:p w:rsidR="008E0CD8" w:rsidRDefault="008E0CD8" w:rsidP="008E0CD8">
      <w:pPr>
        <w:pStyle w:val="22"/>
        <w:shd w:val="clear" w:color="auto" w:fill="auto"/>
        <w:tabs>
          <w:tab w:val="left" w:pos="1249"/>
        </w:tabs>
        <w:spacing w:before="0" w:after="0" w:line="276" w:lineRule="auto"/>
        <w:jc w:val="both"/>
      </w:pPr>
    </w:p>
    <w:p w:rsidR="008E0CD8" w:rsidRDefault="008E0CD8" w:rsidP="008E0CD8">
      <w:pPr>
        <w:pStyle w:val="22"/>
        <w:shd w:val="clear" w:color="auto" w:fill="auto"/>
        <w:tabs>
          <w:tab w:val="left" w:pos="1249"/>
        </w:tabs>
        <w:spacing w:before="0" w:after="0" w:line="276" w:lineRule="auto"/>
        <w:jc w:val="both"/>
      </w:pPr>
    </w:p>
    <w:p w:rsidR="008E0CD8" w:rsidRDefault="008E0CD8" w:rsidP="008E0CD8">
      <w:pPr>
        <w:pStyle w:val="22"/>
        <w:shd w:val="clear" w:color="auto" w:fill="auto"/>
        <w:tabs>
          <w:tab w:val="left" w:pos="1249"/>
        </w:tabs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53150" cy="8658225"/>
            <wp:effectExtent l="0" t="0" r="0" b="0"/>
            <wp:docPr id="3" name="Рисунок 3" descr="C:\Users\user\Desktop\доки\постановления совета министров\09.10\П 7-59\6-7\Postanov_N7_59_31052016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9.10\П 7-59\6-7\Postanov_N7_59_31052016_Page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65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 wp14:anchorId="512B0A8C" wp14:editId="7B40713A">
            <wp:extent cx="6134100" cy="9067800"/>
            <wp:effectExtent l="0" t="0" r="0" b="0"/>
            <wp:docPr id="4" name="Рисунок 4" descr="C:\Users\user\Desktop\доки\постановления совета министров\09.10\П 7-59\6-7\Postanov_N7_59_31052016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9.10\П 7-59\6-7\Postanov_N7_59_31052016_Page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jc w:val="both"/>
      </w:pPr>
      <w:r>
        <w:lastRenderedPageBreak/>
        <w:t>в дальнейшем - Исполнитель, с другой стороны (далее - Стороны), заключили этот договор о следующем:</w:t>
      </w: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9"/>
        </w:numPr>
        <w:shd w:val="clear" w:color="auto" w:fill="auto"/>
        <w:spacing w:before="0" w:after="0" w:line="276" w:lineRule="auto"/>
      </w:pPr>
      <w:bookmarkStart w:id="7" w:name="bookmark7"/>
      <w:r>
        <w:t>Предмет договора</w:t>
      </w:r>
      <w:bookmarkEnd w:id="7"/>
    </w:p>
    <w:p w:rsidR="002832B2" w:rsidRDefault="002832B2" w:rsidP="002832B2">
      <w:pPr>
        <w:pStyle w:val="40"/>
        <w:keepNext/>
        <w:keepLines/>
        <w:shd w:val="clear" w:color="auto" w:fill="auto"/>
        <w:spacing w:before="0" w:after="0" w:line="276" w:lineRule="auto"/>
      </w:pPr>
    </w:p>
    <w:p w:rsidR="00E70636" w:rsidRDefault="00013097" w:rsidP="002832B2">
      <w:pPr>
        <w:pStyle w:val="22"/>
        <w:numPr>
          <w:ilvl w:val="0"/>
          <w:numId w:val="7"/>
        </w:numPr>
        <w:shd w:val="clear" w:color="auto" w:fill="auto"/>
        <w:tabs>
          <w:tab w:val="left" w:pos="1368"/>
        </w:tabs>
        <w:spacing w:before="0" w:after="0" w:line="276" w:lineRule="auto"/>
        <w:ind w:firstLine="760"/>
        <w:jc w:val="both"/>
      </w:pPr>
      <w:r>
        <w:t>Заказчик поручает, а Исполнитель принимает на себя о</w:t>
      </w:r>
      <w:r>
        <w:t>бязательство совершить за определенную плату (комиссионное вознаграждение) реализацию переданного ему</w:t>
      </w:r>
    </w:p>
    <w:p w:rsidR="00E70636" w:rsidRDefault="00013097" w:rsidP="00321565">
      <w:pPr>
        <w:pStyle w:val="43"/>
        <w:shd w:val="clear" w:color="auto" w:fill="auto"/>
        <w:spacing w:line="276" w:lineRule="auto"/>
        <w:ind w:firstLine="0"/>
        <w:jc w:val="center"/>
      </w:pPr>
      <w:r>
        <w:t>бесхозяйного, конфискованного и другого имущества, которое переходит в собственность Донецкой Народной Республики,</w:t>
      </w:r>
    </w:p>
    <w:p w:rsidR="00E70636" w:rsidRDefault="00013097" w:rsidP="00321565">
      <w:pPr>
        <w:pStyle w:val="50"/>
        <w:shd w:val="clear" w:color="auto" w:fill="auto"/>
        <w:spacing w:line="276" w:lineRule="auto"/>
        <w:jc w:val="center"/>
      </w:pPr>
      <w:r>
        <w:t>(необходимое указать)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firstLine="760"/>
        <w:jc w:val="both"/>
      </w:pPr>
      <w:r>
        <w:t xml:space="preserve">которое </w:t>
      </w:r>
      <w:proofErr w:type="gramStart"/>
      <w:r>
        <w:t xml:space="preserve">согласно </w:t>
      </w:r>
      <w:hyperlink r:id="rId14" w:history="1">
        <w:r w:rsidRPr="00023C48">
          <w:rPr>
            <w:rStyle w:val="a3"/>
          </w:rPr>
          <w:t>Закона</w:t>
        </w:r>
        <w:proofErr w:type="gramEnd"/>
      </w:hyperlink>
      <w:r>
        <w:t xml:space="preserve"> перешло в собственность Донецкой Народной Республики (далее - Имущество).</w:t>
      </w:r>
    </w:p>
    <w:p w:rsidR="00E70636" w:rsidRDefault="00013097" w:rsidP="002832B2">
      <w:pPr>
        <w:pStyle w:val="22"/>
        <w:numPr>
          <w:ilvl w:val="0"/>
          <w:numId w:val="7"/>
        </w:numPr>
        <w:shd w:val="clear" w:color="auto" w:fill="auto"/>
        <w:tabs>
          <w:tab w:val="left" w:pos="1368"/>
        </w:tabs>
        <w:spacing w:before="0" w:after="0" w:line="276" w:lineRule="auto"/>
        <w:ind w:firstLine="760"/>
        <w:jc w:val="both"/>
      </w:pPr>
      <w:r>
        <w:t>Поручение считается выполненным после поступления денежных средств от реализации Имущества на расчетные счета указанные в пункте 4.1 раздела 4 настоящего Договора.</w:t>
      </w:r>
    </w:p>
    <w:p w:rsidR="002832B2" w:rsidRDefault="002832B2" w:rsidP="002832B2">
      <w:pPr>
        <w:pStyle w:val="22"/>
        <w:shd w:val="clear" w:color="auto" w:fill="auto"/>
        <w:tabs>
          <w:tab w:val="left" w:pos="1368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790"/>
        </w:tabs>
        <w:spacing w:before="0" w:after="0" w:line="276" w:lineRule="auto"/>
        <w:ind w:left="3400"/>
        <w:jc w:val="both"/>
      </w:pPr>
      <w:bookmarkStart w:id="8" w:name="bookmark8"/>
      <w:r>
        <w:t>Обязанности</w:t>
      </w:r>
      <w:r>
        <w:t xml:space="preserve"> Сторон</w:t>
      </w:r>
      <w:bookmarkEnd w:id="8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790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368"/>
        </w:tabs>
        <w:spacing w:before="0" w:after="0" w:line="276" w:lineRule="auto"/>
        <w:ind w:firstLine="760"/>
        <w:jc w:val="both"/>
      </w:pPr>
      <w:r>
        <w:t>При выполнении настоящего договора Заказчик обязан: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523"/>
        </w:tabs>
        <w:spacing w:before="0" w:after="0" w:line="276" w:lineRule="auto"/>
        <w:ind w:firstLine="760"/>
        <w:jc w:val="both"/>
      </w:pPr>
      <w:proofErr w:type="gramStart"/>
      <w:r>
        <w:t>Предоставлять необходимые документы</w:t>
      </w:r>
      <w:proofErr w:type="gramEnd"/>
      <w:r>
        <w:t xml:space="preserve"> для осуществления различных действий, связанных с документальным оформлением реализации Имущества;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528"/>
        </w:tabs>
        <w:spacing w:before="0" w:after="0" w:line="276" w:lineRule="auto"/>
        <w:ind w:firstLine="760"/>
        <w:jc w:val="both"/>
      </w:pPr>
      <w:r>
        <w:t xml:space="preserve">Обеспечить неразглашение информации, которая стала известной </w:t>
      </w:r>
      <w:r>
        <w:t>при выполнении настоящего договора относительно Исполнителя и третьих лиц.</w:t>
      </w: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568"/>
        </w:tabs>
        <w:spacing w:before="0" w:after="0" w:line="276" w:lineRule="auto"/>
        <w:ind w:firstLine="760"/>
        <w:jc w:val="both"/>
      </w:pPr>
      <w:r>
        <w:t>При выполнении настоящего договора Исполнитель обязан: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518"/>
        </w:tabs>
        <w:spacing w:before="0" w:after="0" w:line="276" w:lineRule="auto"/>
        <w:ind w:firstLine="760"/>
        <w:jc w:val="both"/>
      </w:pPr>
      <w:r>
        <w:t xml:space="preserve">Принять имущество по его местонахождению </w:t>
      </w:r>
      <w:proofErr w:type="gramStart"/>
      <w:r>
        <w:t>согласно акта</w:t>
      </w:r>
      <w:proofErr w:type="gramEnd"/>
      <w:r>
        <w:t xml:space="preserve"> описи, оценки и передачи имущества, которое переходит в собственность </w:t>
      </w:r>
      <w:r>
        <w:t>республики</w:t>
      </w:r>
    </w:p>
    <w:p w:rsidR="00E70636" w:rsidRDefault="00013097" w:rsidP="002832B2">
      <w:pPr>
        <w:pStyle w:val="22"/>
        <w:shd w:val="clear" w:color="auto" w:fill="auto"/>
        <w:tabs>
          <w:tab w:val="left" w:leader="underscore" w:pos="1963"/>
          <w:tab w:val="left" w:leader="underscore" w:pos="2520"/>
          <w:tab w:val="left" w:leader="underscore" w:pos="4325"/>
        </w:tabs>
        <w:spacing w:before="0" w:after="0" w:line="276" w:lineRule="auto"/>
        <w:jc w:val="both"/>
      </w:pPr>
      <w:r>
        <w:t xml:space="preserve">от </w:t>
      </w:r>
      <w:r>
        <w:tab/>
        <w:t>20</w:t>
      </w:r>
      <w:r>
        <w:tab/>
        <w:t xml:space="preserve"> года №</w:t>
      </w:r>
      <w:r>
        <w:tab/>
        <w:t>, который является неотъемлемой частью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jc w:val="both"/>
      </w:pPr>
      <w:r>
        <w:t>настоящего Договора;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523"/>
        </w:tabs>
        <w:spacing w:before="0" w:after="0" w:line="276" w:lineRule="auto"/>
        <w:ind w:firstLine="760"/>
        <w:jc w:val="both"/>
      </w:pPr>
      <w:r>
        <w:t>Обеспечить хранение имущества, транспортирование и другие действия, необходимые для реализации имущества.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568"/>
          <w:tab w:val="left" w:leader="underscore" w:pos="8219"/>
        </w:tabs>
        <w:spacing w:before="0" w:after="0" w:line="276" w:lineRule="auto"/>
        <w:ind w:firstLine="760"/>
        <w:jc w:val="both"/>
      </w:pPr>
      <w:proofErr w:type="gramStart"/>
      <w:r>
        <w:t xml:space="preserve">Осуществить реализацию имущества </w:t>
      </w:r>
      <w:r>
        <w:tab/>
        <w:t xml:space="preserve"> </w:t>
      </w:r>
      <w:r>
        <w:rPr>
          <w:rStyle w:val="212pt"/>
        </w:rPr>
        <w:t>(по прямым</w:t>
      </w:r>
      <w:proofErr w:type="gramEnd"/>
    </w:p>
    <w:p w:rsidR="00E70636" w:rsidRDefault="00013097" w:rsidP="002832B2">
      <w:pPr>
        <w:pStyle w:val="43"/>
        <w:shd w:val="clear" w:color="auto" w:fill="auto"/>
        <w:spacing w:line="276" w:lineRule="auto"/>
        <w:ind w:firstLine="0"/>
        <w:jc w:val="both"/>
      </w:pPr>
      <w:r>
        <w:t>договорам купли-пр</w:t>
      </w:r>
      <w:r>
        <w:t xml:space="preserve">одажи, путем проведения биржевых торгов, аукциона </w:t>
      </w:r>
      <w:r>
        <w:rPr>
          <w:rStyle w:val="49pt"/>
        </w:rPr>
        <w:t>(</w:t>
      </w:r>
      <w:proofErr w:type="gramStart"/>
      <w:r>
        <w:rPr>
          <w:rStyle w:val="49pt"/>
        </w:rPr>
        <w:t>необходимое</w:t>
      </w:r>
      <w:proofErr w:type="gramEnd"/>
      <w:r>
        <w:rPr>
          <w:rStyle w:val="49pt"/>
        </w:rPr>
        <w:t xml:space="preserve"> указать)) </w:t>
      </w:r>
      <w:r w:rsidR="00321565">
        <w:rPr>
          <w:rStyle w:val="49pt"/>
        </w:rPr>
        <w:br/>
      </w:r>
      <w:r>
        <w:rPr>
          <w:rStyle w:val="414pt"/>
        </w:rPr>
        <w:t xml:space="preserve">в соответствии с требованиями </w:t>
      </w:r>
      <w:hyperlink r:id="rId15" w:history="1">
        <w:r w:rsidRPr="00023C48">
          <w:rPr>
            <w:rStyle w:val="a3"/>
            <w:sz w:val="28"/>
            <w:szCs w:val="28"/>
          </w:rPr>
          <w:t>Закона</w:t>
        </w:r>
      </w:hyperlink>
      <w:r>
        <w:rPr>
          <w:rStyle w:val="414pt"/>
        </w:rPr>
        <w:t>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595"/>
        </w:tabs>
        <w:spacing w:before="0" w:after="0" w:line="276" w:lineRule="auto"/>
        <w:ind w:firstLine="760"/>
        <w:jc w:val="both"/>
      </w:pPr>
      <w:r>
        <w:t xml:space="preserve">Обеспечить учет всех операций, связанных с реализацией переданного имущества, в разрезе каждого акта описи, оценки и передачи имущества, которое </w:t>
      </w:r>
      <w:r>
        <w:t>переходит в собственность Республики.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488"/>
        </w:tabs>
        <w:spacing w:before="0" w:after="0" w:line="276" w:lineRule="auto"/>
        <w:ind w:firstLine="760"/>
        <w:jc w:val="both"/>
      </w:pPr>
      <w:r>
        <w:lastRenderedPageBreak/>
        <w:t>На требование Заказчика в определенные им сроки и при участии уполномоченных им лиц обеспечивать проведение инвентаризации переданного на реализацию имущества.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483"/>
        </w:tabs>
        <w:spacing w:before="0" w:after="0" w:line="276" w:lineRule="auto"/>
        <w:ind w:firstLine="760"/>
        <w:jc w:val="both"/>
      </w:pPr>
      <w:r>
        <w:t>Остановить реализацию имущества в случае получения от Зака</w:t>
      </w:r>
      <w:r>
        <w:t>зчика распоряжения о прекращении реализации имущества.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488"/>
        </w:tabs>
        <w:spacing w:before="0" w:after="0" w:line="276" w:lineRule="auto"/>
        <w:ind w:firstLine="760"/>
        <w:jc w:val="both"/>
      </w:pPr>
      <w:r>
        <w:t>Возвратить нереализованное имущество в случае невыполнения условий настоящего договора, а также в других случаях, предусмотренных действующим законодательством.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483"/>
        </w:tabs>
        <w:spacing w:before="0" w:after="0" w:line="276" w:lineRule="auto"/>
        <w:ind w:firstLine="760"/>
        <w:jc w:val="both"/>
      </w:pPr>
      <w:r>
        <w:t>Не осуществлять без согласования с Заказ</w:t>
      </w:r>
      <w:r>
        <w:t>чиком действий относительно изменения способа реализации имущества, его уценки, разрыва биржевых контрактов, договоров купли-продажи.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478"/>
        </w:tabs>
        <w:spacing w:before="0" w:after="0" w:line="276" w:lineRule="auto"/>
        <w:ind w:firstLine="760"/>
        <w:jc w:val="both"/>
      </w:pPr>
      <w:r>
        <w:t>Предоставлять Заказчику в полном объеме необходимую информацию, связанную с выполнением настоящего договора.</w:t>
      </w:r>
    </w:p>
    <w:p w:rsidR="00E70636" w:rsidRDefault="00013097" w:rsidP="002832B2">
      <w:pPr>
        <w:pStyle w:val="22"/>
        <w:numPr>
          <w:ilvl w:val="2"/>
          <w:numId w:val="8"/>
        </w:numPr>
        <w:shd w:val="clear" w:color="auto" w:fill="auto"/>
        <w:tabs>
          <w:tab w:val="left" w:pos="1622"/>
        </w:tabs>
        <w:spacing w:before="0" w:after="0" w:line="276" w:lineRule="auto"/>
        <w:ind w:firstLine="760"/>
        <w:jc w:val="both"/>
      </w:pPr>
      <w:r>
        <w:t>Обеспечить не</w:t>
      </w:r>
      <w:r>
        <w:t>разглашение информации, которая стала известной при выполнении настоящего договора относительно Заказчика и третьих лиц.</w:t>
      </w:r>
    </w:p>
    <w:p w:rsidR="002832B2" w:rsidRDefault="002832B2" w:rsidP="002832B2">
      <w:pPr>
        <w:pStyle w:val="22"/>
        <w:shd w:val="clear" w:color="auto" w:fill="auto"/>
        <w:tabs>
          <w:tab w:val="left" w:pos="1622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230"/>
        </w:tabs>
        <w:spacing w:before="0" w:after="0" w:line="276" w:lineRule="auto"/>
        <w:ind w:left="2880"/>
        <w:jc w:val="both"/>
      </w:pPr>
      <w:bookmarkStart w:id="9" w:name="bookmark9"/>
      <w:r>
        <w:t>Сроки выполнения договора</w:t>
      </w:r>
      <w:bookmarkEnd w:id="9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230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317"/>
        </w:tabs>
        <w:spacing w:before="0" w:after="0" w:line="276" w:lineRule="auto"/>
        <w:ind w:firstLine="760"/>
        <w:jc w:val="both"/>
      </w:pPr>
      <w:r>
        <w:t xml:space="preserve">Исполнитель обязан провести реализацию </w:t>
      </w:r>
      <w:proofErr w:type="gramStart"/>
      <w:r>
        <w:t>переданного</w:t>
      </w:r>
      <w:proofErr w:type="gramEnd"/>
      <w:r>
        <w:t xml:space="preserve"> Заказчиком</w:t>
      </w:r>
    </w:p>
    <w:p w:rsidR="00E70636" w:rsidRDefault="00013097" w:rsidP="002832B2">
      <w:pPr>
        <w:pStyle w:val="22"/>
        <w:shd w:val="clear" w:color="auto" w:fill="auto"/>
        <w:tabs>
          <w:tab w:val="left" w:leader="underscore" w:pos="4219"/>
        </w:tabs>
        <w:spacing w:before="0" w:after="0" w:line="276" w:lineRule="auto"/>
        <w:jc w:val="both"/>
      </w:pPr>
      <w:r>
        <w:t xml:space="preserve">имущества в срок </w:t>
      </w:r>
      <w:proofErr w:type="gramStart"/>
      <w:r>
        <w:t>до</w:t>
      </w:r>
      <w:proofErr w:type="gramEnd"/>
      <w:r>
        <w:tab/>
        <w:t>.</w:t>
      </w: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72"/>
        </w:tabs>
        <w:spacing w:before="0" w:after="0" w:line="276" w:lineRule="auto"/>
        <w:ind w:firstLine="760"/>
        <w:jc w:val="both"/>
      </w:pPr>
      <w:r>
        <w:t xml:space="preserve">В случае приостановления </w:t>
      </w:r>
      <w:r>
        <w:t>реализации имущества по распоряжению Заказчика и в случае дальнейшей его реализации не учитывается время, на которое была приостановлена реализация.</w:t>
      </w: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72"/>
        </w:tabs>
        <w:spacing w:before="0" w:after="0" w:line="276" w:lineRule="auto"/>
        <w:ind w:firstLine="760"/>
        <w:jc w:val="both"/>
      </w:pPr>
      <w:r>
        <w:t>Уценка имущества проводится в соответствии с действующим законодательством.</w:t>
      </w:r>
    </w:p>
    <w:p w:rsidR="002832B2" w:rsidRDefault="002832B2" w:rsidP="002832B2">
      <w:pPr>
        <w:pStyle w:val="22"/>
        <w:shd w:val="clear" w:color="auto" w:fill="auto"/>
        <w:tabs>
          <w:tab w:val="left" w:pos="1272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2045"/>
        </w:tabs>
        <w:spacing w:before="0" w:after="0" w:line="276" w:lineRule="auto"/>
        <w:ind w:left="1700"/>
        <w:jc w:val="both"/>
      </w:pPr>
      <w:bookmarkStart w:id="10" w:name="bookmark10"/>
      <w:r>
        <w:t xml:space="preserve">Порядок расчетов </w:t>
      </w:r>
      <w:r>
        <w:rPr>
          <w:rStyle w:val="41"/>
        </w:rPr>
        <w:t xml:space="preserve">за </w:t>
      </w:r>
      <w:r>
        <w:t>реализованн</w:t>
      </w:r>
      <w:r>
        <w:t>ое имущество</w:t>
      </w:r>
      <w:bookmarkEnd w:id="10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2045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72"/>
        </w:tabs>
        <w:spacing w:before="0" w:after="0" w:line="276" w:lineRule="auto"/>
        <w:ind w:firstLine="760"/>
        <w:jc w:val="both"/>
      </w:pPr>
      <w:r>
        <w:t xml:space="preserve">Денежные средства, полученные от реализации имущества, за исключением сумм комиссионного вознаграждения Исполнителя, расходов, связанных с его хранением и других затрат, связанных с обращением имущества в собственность республики, </w:t>
      </w:r>
      <w:r>
        <w:t>перечисляются Исполнителем в сроки, предусмотренные действующими нормативными правовыми актами Донецкой Народной Республики на расчетный счет:</w:t>
      </w:r>
    </w:p>
    <w:p w:rsidR="00321565" w:rsidRDefault="00321565" w:rsidP="00321565">
      <w:pPr>
        <w:pStyle w:val="22"/>
        <w:shd w:val="clear" w:color="auto" w:fill="auto"/>
        <w:tabs>
          <w:tab w:val="left" w:pos="1272"/>
        </w:tabs>
        <w:spacing w:before="0" w:after="0" w:line="276" w:lineRule="auto"/>
        <w:ind w:left="760"/>
        <w:jc w:val="both"/>
      </w:pPr>
      <w:r>
        <w:t>_____________________________________________________________</w:t>
      </w:r>
    </w:p>
    <w:p w:rsidR="00E70636" w:rsidRDefault="00013097" w:rsidP="002832B2">
      <w:pPr>
        <w:pStyle w:val="50"/>
        <w:shd w:val="clear" w:color="auto" w:fill="auto"/>
        <w:spacing w:line="276" w:lineRule="auto"/>
        <w:ind w:left="20"/>
        <w:jc w:val="center"/>
      </w:pPr>
      <w:r>
        <w:t>(реквизиты расчетного счета по коду бюджетной классификации 31010000)</w:t>
      </w:r>
    </w:p>
    <w:p w:rsidR="00321565" w:rsidRPr="00321565" w:rsidRDefault="00321565" w:rsidP="002832B2">
      <w:pPr>
        <w:pStyle w:val="5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321565" w:rsidRDefault="00321565" w:rsidP="002832B2">
      <w:pPr>
        <w:pStyle w:val="5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321565" w:rsidRDefault="00321565" w:rsidP="002832B2">
      <w:pPr>
        <w:pStyle w:val="5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</w:p>
    <w:p w:rsidR="00321565" w:rsidRPr="00321565" w:rsidRDefault="00321565" w:rsidP="002832B2">
      <w:pPr>
        <w:pStyle w:val="50"/>
        <w:shd w:val="clear" w:color="auto" w:fill="auto"/>
        <w:spacing w:line="276" w:lineRule="auto"/>
        <w:ind w:left="20"/>
        <w:jc w:val="center"/>
        <w:rPr>
          <w:sz w:val="28"/>
          <w:szCs w:val="28"/>
        </w:rPr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76" w:lineRule="auto"/>
      </w:pPr>
      <w:bookmarkStart w:id="11" w:name="bookmark11"/>
      <w:r w:rsidRPr="002832B2">
        <w:rPr>
          <w:rStyle w:val="41"/>
          <w:b/>
        </w:rPr>
        <w:t>Комиссионное</w:t>
      </w:r>
      <w:r>
        <w:rPr>
          <w:rStyle w:val="41"/>
        </w:rPr>
        <w:t xml:space="preserve"> </w:t>
      </w:r>
      <w:r>
        <w:t>вознаграждение Исполнителю</w:t>
      </w:r>
      <w:bookmarkEnd w:id="11"/>
    </w:p>
    <w:p w:rsidR="00321565" w:rsidRDefault="00321565" w:rsidP="00321565">
      <w:pPr>
        <w:pStyle w:val="40"/>
        <w:keepNext/>
        <w:keepLines/>
        <w:shd w:val="clear" w:color="auto" w:fill="auto"/>
        <w:tabs>
          <w:tab w:val="left" w:pos="426"/>
        </w:tabs>
        <w:spacing w:before="0" w:after="0" w:line="276" w:lineRule="auto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337"/>
          <w:tab w:val="left" w:leader="underscore" w:pos="8186"/>
        </w:tabs>
        <w:spacing w:before="0" w:after="0" w:line="276" w:lineRule="auto"/>
        <w:ind w:firstLine="760"/>
        <w:jc w:val="both"/>
      </w:pPr>
      <w:r>
        <w:t>Раз</w:t>
      </w:r>
      <w:r>
        <w:t>мер комиссионного вознаграждения составляет</w:t>
      </w:r>
      <w:r>
        <w:tab/>
        <w:t>% от суммы</w:t>
      </w:r>
    </w:p>
    <w:p w:rsidR="00E70636" w:rsidRDefault="00013097" w:rsidP="002832B2">
      <w:pPr>
        <w:pStyle w:val="22"/>
        <w:shd w:val="clear" w:color="auto" w:fill="auto"/>
        <w:spacing w:before="0" w:after="0" w:line="276" w:lineRule="auto"/>
      </w:pPr>
      <w:r>
        <w:t>средств, полученных от реализации имущества.</w:t>
      </w:r>
    </w:p>
    <w:p w:rsidR="002832B2" w:rsidRDefault="002832B2" w:rsidP="002832B2">
      <w:pPr>
        <w:pStyle w:val="22"/>
        <w:shd w:val="clear" w:color="auto" w:fill="auto"/>
        <w:spacing w:before="0" w:after="0" w:line="276" w:lineRule="auto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511"/>
        </w:tabs>
        <w:spacing w:before="0" w:after="0" w:line="276" w:lineRule="auto"/>
        <w:ind w:left="3140"/>
        <w:jc w:val="both"/>
      </w:pPr>
      <w:bookmarkStart w:id="12" w:name="bookmark12"/>
      <w:r>
        <w:t>Ответственность Сторон</w:t>
      </w:r>
      <w:bookmarkEnd w:id="12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511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97"/>
        </w:tabs>
        <w:spacing w:before="0" w:after="0" w:line="276" w:lineRule="auto"/>
        <w:ind w:firstLine="760"/>
        <w:jc w:val="both"/>
      </w:pPr>
      <w:r>
        <w:t>Стороны несут ответственность за невыполнение условий настоящего договора в соответствии с действующим законодательством.</w:t>
      </w:r>
    </w:p>
    <w:p w:rsidR="002832B2" w:rsidRDefault="002832B2" w:rsidP="002832B2">
      <w:pPr>
        <w:pStyle w:val="22"/>
        <w:shd w:val="clear" w:color="auto" w:fill="auto"/>
        <w:tabs>
          <w:tab w:val="left" w:pos="1297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4071"/>
        </w:tabs>
        <w:spacing w:before="0" w:after="0" w:line="276" w:lineRule="auto"/>
        <w:ind w:left="3700"/>
        <w:jc w:val="both"/>
      </w:pPr>
      <w:bookmarkStart w:id="13" w:name="bookmark13"/>
      <w:r>
        <w:t xml:space="preserve">Особые </w:t>
      </w:r>
      <w:r>
        <w:t>условия</w:t>
      </w:r>
      <w:bookmarkEnd w:id="13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4071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302"/>
        </w:tabs>
        <w:spacing w:before="0" w:after="0" w:line="276" w:lineRule="auto"/>
        <w:ind w:firstLine="760"/>
        <w:jc w:val="both"/>
      </w:pPr>
      <w:r>
        <w:t xml:space="preserve">С момента передачи Заказчиком Имущества, ответственность за его сохранность несет Исполнитель. В случае недостачи, порчи или утраты переданного Имущества, Исполнитель в десятидневный срок со дня получения претензии от Заказчика, возмещает убытки в </w:t>
      </w:r>
      <w:r>
        <w:t>размере стоимости такого Имущества с учетом суммы, на которую снизилась его стоимость, по ценам, указанным в Акте описи, оценки и передачи имущества, которое переходит в собственность Республики.</w:t>
      </w:r>
    </w:p>
    <w:p w:rsidR="002832B2" w:rsidRDefault="002832B2" w:rsidP="002832B2">
      <w:pPr>
        <w:pStyle w:val="22"/>
        <w:shd w:val="clear" w:color="auto" w:fill="auto"/>
        <w:tabs>
          <w:tab w:val="left" w:pos="1302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276"/>
        </w:tabs>
        <w:spacing w:before="0" w:after="0" w:line="276" w:lineRule="auto"/>
        <w:ind w:left="2900"/>
        <w:jc w:val="both"/>
      </w:pPr>
      <w:bookmarkStart w:id="14" w:name="bookmark14"/>
      <w:r>
        <w:t>Порядок разрешения споров</w:t>
      </w:r>
      <w:bookmarkEnd w:id="14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276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92"/>
        </w:tabs>
        <w:spacing w:before="0" w:after="0" w:line="276" w:lineRule="auto"/>
        <w:ind w:firstLine="760"/>
        <w:jc w:val="both"/>
      </w:pPr>
      <w:r>
        <w:t>Стороны договорились принимать все</w:t>
      </w:r>
      <w:r>
        <w:t xml:space="preserve"> меры к разрешению споров путем переговоров.</w:t>
      </w: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97"/>
        </w:tabs>
        <w:spacing w:before="0" w:after="0" w:line="276" w:lineRule="auto"/>
        <w:ind w:firstLine="760"/>
        <w:jc w:val="both"/>
      </w:pPr>
      <w:r>
        <w:t>Споры, не урегулированные путем переговоров, решаются в судебном порядке.</w:t>
      </w:r>
    </w:p>
    <w:p w:rsidR="002832B2" w:rsidRDefault="002832B2" w:rsidP="002832B2">
      <w:pPr>
        <w:pStyle w:val="22"/>
        <w:shd w:val="clear" w:color="auto" w:fill="auto"/>
        <w:tabs>
          <w:tab w:val="left" w:pos="1297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1336"/>
        </w:tabs>
        <w:spacing w:before="0" w:after="0" w:line="276" w:lineRule="auto"/>
        <w:ind w:left="960"/>
        <w:jc w:val="both"/>
      </w:pPr>
      <w:bookmarkStart w:id="15" w:name="bookmark15"/>
      <w:r>
        <w:t>Приложения (дополнения) и внесение изменений в договор</w:t>
      </w:r>
      <w:bookmarkEnd w:id="15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1336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297"/>
        </w:tabs>
        <w:spacing w:before="0" w:after="0" w:line="276" w:lineRule="auto"/>
        <w:ind w:firstLine="760"/>
        <w:jc w:val="both"/>
      </w:pPr>
      <w:r>
        <w:t xml:space="preserve">Все приложения (дополнения) и внесение изменений в настоящий договор являются </w:t>
      </w:r>
      <w:r>
        <w:t>действующими лишь в том случае, когда они письменно оформлены и подписаны Сторонами в установленном законодательством порядке.</w:t>
      </w:r>
    </w:p>
    <w:p w:rsidR="002832B2" w:rsidRDefault="002832B2" w:rsidP="002832B2">
      <w:pPr>
        <w:pStyle w:val="22"/>
        <w:shd w:val="clear" w:color="auto" w:fill="auto"/>
        <w:tabs>
          <w:tab w:val="left" w:pos="1297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160"/>
        </w:tabs>
        <w:spacing w:before="0" w:after="0" w:line="276" w:lineRule="auto"/>
        <w:ind w:left="2660"/>
        <w:jc w:val="both"/>
      </w:pPr>
      <w:bookmarkStart w:id="16" w:name="bookmark16"/>
      <w:r>
        <w:t>Условия расторжения договора</w:t>
      </w:r>
      <w:bookmarkEnd w:id="16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160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436"/>
        </w:tabs>
        <w:spacing w:before="0" w:after="0" w:line="276" w:lineRule="auto"/>
        <w:ind w:firstLine="760"/>
        <w:jc w:val="both"/>
      </w:pPr>
      <w:r>
        <w:t xml:space="preserve">Заказчик имеет право расторгнуть договор, предупредив об этом </w:t>
      </w:r>
      <w:r>
        <w:lastRenderedPageBreak/>
        <w:t>Исполнителя за десять дней.</w:t>
      </w:r>
    </w:p>
    <w:p w:rsidR="002832B2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446"/>
        </w:tabs>
        <w:spacing w:before="0" w:after="0" w:line="276" w:lineRule="auto"/>
        <w:ind w:firstLine="760"/>
        <w:jc w:val="both"/>
      </w:pPr>
      <w:r>
        <w:t>Исполнител</w:t>
      </w:r>
      <w:r>
        <w:t>ь имеет право расторгнуть договор, предупредив об этом Заказчика за десять дней, перечислив в бюджет средства, полученных от реализации имущества, или возвратить нереализованное имущество Заказчику.</w:t>
      </w: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458"/>
        </w:tabs>
        <w:spacing w:before="0" w:after="0" w:line="276" w:lineRule="auto"/>
        <w:ind w:firstLine="780"/>
        <w:jc w:val="both"/>
      </w:pPr>
      <w:r>
        <w:t xml:space="preserve">Возвращение нереализованного имущества в случае разрыва </w:t>
      </w:r>
      <w:r>
        <w:t xml:space="preserve">договора оформляется актом приема-передачи имущества по перечню </w:t>
      </w:r>
      <w:proofErr w:type="gramStart"/>
      <w:r>
        <w:t>согласно акта</w:t>
      </w:r>
      <w:proofErr w:type="gramEnd"/>
      <w:r>
        <w:t xml:space="preserve"> описи, оценки и передачи имущества, которое переходит в собственность республики.</w:t>
      </w:r>
    </w:p>
    <w:p w:rsidR="002832B2" w:rsidRDefault="002832B2" w:rsidP="002832B2">
      <w:pPr>
        <w:pStyle w:val="22"/>
        <w:shd w:val="clear" w:color="auto" w:fill="auto"/>
        <w:tabs>
          <w:tab w:val="left" w:pos="1458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637"/>
        </w:tabs>
        <w:spacing w:before="0" w:after="0" w:line="276" w:lineRule="auto"/>
        <w:ind w:left="3120"/>
        <w:jc w:val="both"/>
      </w:pPr>
      <w:bookmarkStart w:id="17" w:name="bookmark17"/>
      <w:r>
        <w:t>Срок действия договора</w:t>
      </w:r>
      <w:bookmarkEnd w:id="17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637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448"/>
        </w:tabs>
        <w:spacing w:before="0" w:after="0" w:line="276" w:lineRule="auto"/>
        <w:ind w:firstLine="780"/>
        <w:jc w:val="both"/>
      </w:pPr>
      <w:r>
        <w:t xml:space="preserve">Настоящий договор вступает в силу с момента его подписания Сторонами и </w:t>
      </w:r>
      <w:r>
        <w:t>действует до полного выполнения Сторонами своих обязательств.</w:t>
      </w:r>
    </w:p>
    <w:p w:rsidR="00E70636" w:rsidRDefault="00013097" w:rsidP="002832B2">
      <w:pPr>
        <w:pStyle w:val="22"/>
        <w:numPr>
          <w:ilvl w:val="1"/>
          <w:numId w:val="8"/>
        </w:numPr>
        <w:shd w:val="clear" w:color="auto" w:fill="auto"/>
        <w:tabs>
          <w:tab w:val="left" w:pos="1458"/>
        </w:tabs>
        <w:spacing w:before="0" w:after="0" w:line="276" w:lineRule="auto"/>
        <w:ind w:firstLine="780"/>
        <w:jc w:val="both"/>
      </w:pPr>
      <w:r>
        <w:t xml:space="preserve">Действие настоящего договора может быть прекращено досрочно по согласию Сторон либо при других основаниях, предусмотренных настоящим договором или </w:t>
      </w:r>
      <w:bookmarkStart w:id="18" w:name="_GoBack"/>
      <w:r>
        <w:t>закон</w:t>
      </w:r>
      <w:bookmarkEnd w:id="18"/>
      <w:r>
        <w:t>одательством.</w:t>
      </w:r>
    </w:p>
    <w:p w:rsidR="002832B2" w:rsidRDefault="002832B2" w:rsidP="002832B2">
      <w:pPr>
        <w:pStyle w:val="22"/>
        <w:shd w:val="clear" w:color="auto" w:fill="auto"/>
        <w:tabs>
          <w:tab w:val="left" w:pos="1458"/>
        </w:tabs>
        <w:spacing w:before="0" w:after="0" w:line="276" w:lineRule="auto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3262"/>
        </w:tabs>
        <w:spacing w:before="0" w:after="0" w:line="276" w:lineRule="auto"/>
        <w:ind w:left="2740"/>
        <w:jc w:val="both"/>
      </w:pPr>
      <w:bookmarkStart w:id="19" w:name="bookmark18"/>
      <w:r>
        <w:t>Другие условия (приложения)</w:t>
      </w:r>
      <w:bookmarkEnd w:id="19"/>
    </w:p>
    <w:p w:rsidR="002832B2" w:rsidRDefault="002832B2" w:rsidP="002832B2">
      <w:pPr>
        <w:pStyle w:val="40"/>
        <w:keepNext/>
        <w:keepLines/>
        <w:shd w:val="clear" w:color="auto" w:fill="auto"/>
        <w:tabs>
          <w:tab w:val="left" w:pos="3262"/>
        </w:tabs>
        <w:spacing w:before="0" w:after="0" w:line="276" w:lineRule="auto"/>
        <w:jc w:val="both"/>
      </w:pPr>
    </w:p>
    <w:p w:rsidR="00E70636" w:rsidRDefault="00013097" w:rsidP="002832B2">
      <w:pPr>
        <w:pStyle w:val="22"/>
        <w:shd w:val="clear" w:color="auto" w:fill="auto"/>
        <w:spacing w:before="0" w:after="0" w:line="276" w:lineRule="auto"/>
        <w:ind w:firstLine="780"/>
        <w:jc w:val="both"/>
      </w:pPr>
      <w:r>
        <w:t>Договор составлен в двух экземплярах, которые имеют одинаковую юридическую силу, по одному для каждой из Сторон.</w:t>
      </w:r>
    </w:p>
    <w:p w:rsidR="002832B2" w:rsidRDefault="002832B2" w:rsidP="002832B2">
      <w:pPr>
        <w:pStyle w:val="22"/>
        <w:shd w:val="clear" w:color="auto" w:fill="auto"/>
        <w:spacing w:before="0" w:after="0" w:line="276" w:lineRule="auto"/>
        <w:ind w:firstLine="780"/>
        <w:jc w:val="both"/>
      </w:pPr>
    </w:p>
    <w:p w:rsidR="00E70636" w:rsidRDefault="00013097" w:rsidP="002832B2">
      <w:pPr>
        <w:pStyle w:val="40"/>
        <w:keepNext/>
        <w:keepLines/>
        <w:numPr>
          <w:ilvl w:val="0"/>
          <w:numId w:val="8"/>
        </w:numPr>
        <w:shd w:val="clear" w:color="auto" w:fill="auto"/>
        <w:tabs>
          <w:tab w:val="left" w:pos="1922"/>
        </w:tabs>
        <w:spacing w:before="0" w:after="0" w:line="276" w:lineRule="auto"/>
        <w:ind w:left="1400"/>
        <w:jc w:val="both"/>
      </w:pPr>
      <w:bookmarkStart w:id="20" w:name="bookmark19"/>
      <w:r>
        <w:t>Местонахождение и банковские реквизиты Сторон</w:t>
      </w:r>
      <w:bookmarkEnd w:id="20"/>
    </w:p>
    <w:p w:rsidR="00321565" w:rsidRDefault="00321565" w:rsidP="00321565">
      <w:pPr>
        <w:pStyle w:val="40"/>
        <w:keepNext/>
        <w:keepLines/>
        <w:shd w:val="clear" w:color="auto" w:fill="auto"/>
        <w:tabs>
          <w:tab w:val="left" w:pos="1922"/>
        </w:tabs>
        <w:spacing w:before="0" w:after="0" w:line="276" w:lineRule="auto"/>
        <w:jc w:val="both"/>
      </w:pPr>
    </w:p>
    <w:p w:rsidR="002832B2" w:rsidRDefault="00321565" w:rsidP="002832B2">
      <w:pPr>
        <w:pStyle w:val="40"/>
        <w:keepNext/>
        <w:keepLines/>
        <w:shd w:val="clear" w:color="auto" w:fill="auto"/>
        <w:tabs>
          <w:tab w:val="left" w:pos="1922"/>
        </w:tabs>
        <w:spacing w:before="0" w:after="0" w:line="276" w:lineRule="auto"/>
        <w:jc w:val="both"/>
      </w:pPr>
      <w:r>
        <w:rPr>
          <w:noProof/>
          <w:lang w:bidi="ar-SA"/>
        </w:rPr>
        <w:drawing>
          <wp:inline distT="0" distB="0" distL="0" distR="0">
            <wp:extent cx="6153150" cy="2733675"/>
            <wp:effectExtent l="0" t="0" r="0" b="0"/>
            <wp:docPr id="2" name="Рисунок 2" descr="C:\Users\user\Desktop\доки\постановления совета министров\09.10\П 7-59\11\Postanov_N7_59_3105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10\П 7-59\11\Postanov_N7_59_310520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00"/>
                    <a:stretch/>
                  </pic:blipFill>
                  <pic:spPr bwMode="auto">
                    <a:xfrm>
                      <a:off x="0" y="0"/>
                      <a:ext cx="61531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832B2" w:rsidSect="002832B2">
      <w:headerReference w:type="even" r:id="rId17"/>
      <w:headerReference w:type="default" r:id="rId18"/>
      <w:pgSz w:w="12240" w:h="15840"/>
      <w:pgMar w:top="993" w:right="471" w:bottom="567" w:left="2063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97" w:rsidRDefault="00013097">
      <w:r>
        <w:separator/>
      </w:r>
    </w:p>
  </w:endnote>
  <w:endnote w:type="continuationSeparator" w:id="0">
    <w:p w:rsidR="00013097" w:rsidRDefault="0001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97" w:rsidRDefault="00013097"/>
  </w:footnote>
  <w:footnote w:type="continuationSeparator" w:id="0">
    <w:p w:rsidR="00013097" w:rsidRDefault="000130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636" w:rsidRDefault="0001309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44.25pt;margin-top:42.4pt;width:5.05pt;height:8.4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636" w:rsidRDefault="0001309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23C48" w:rsidRPr="00023C48">
                  <w:rPr>
                    <w:rStyle w:val="a6"/>
                    <w:noProof/>
                  </w:rPr>
                  <w:t>10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40.25pt;margin-top:63.3pt;width:146.65pt;height:11.0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636" w:rsidRDefault="0001309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Продолжение Приложения 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636" w:rsidRDefault="0001309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4.6pt;margin-top:43.15pt;width:4.3pt;height:8.4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636" w:rsidRDefault="0001309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23C48" w:rsidRPr="00023C48">
                  <w:rPr>
                    <w:rStyle w:val="a6"/>
                    <w:noProof/>
                  </w:rPr>
                  <w:t>11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40.15pt;margin-top:64.25pt;width:146.9pt;height:11.0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0636" w:rsidRDefault="0001309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Продолжение Приложения 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5B7"/>
    <w:multiLevelType w:val="hybridMultilevel"/>
    <w:tmpl w:val="BF360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A1846"/>
    <w:multiLevelType w:val="multilevel"/>
    <w:tmpl w:val="DFB853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C5034"/>
    <w:multiLevelType w:val="multilevel"/>
    <w:tmpl w:val="1CA66DA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1049FE"/>
    <w:multiLevelType w:val="multilevel"/>
    <w:tmpl w:val="AC34F5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D94363"/>
    <w:multiLevelType w:val="multilevel"/>
    <w:tmpl w:val="C7A0BB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9C11BF"/>
    <w:multiLevelType w:val="multilevel"/>
    <w:tmpl w:val="21867EE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272208"/>
    <w:multiLevelType w:val="multilevel"/>
    <w:tmpl w:val="AA9A72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F53A4B"/>
    <w:multiLevelType w:val="multilevel"/>
    <w:tmpl w:val="31BEC7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213168"/>
    <w:multiLevelType w:val="multilevel"/>
    <w:tmpl w:val="3E6054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0636"/>
    <w:rsid w:val="00013097"/>
    <w:rsid w:val="00023C48"/>
    <w:rsid w:val="002832B2"/>
    <w:rsid w:val="00321565"/>
    <w:rsid w:val="005B76E7"/>
    <w:rsid w:val="008E0CD8"/>
    <w:rsid w:val="00E7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Заголовок №4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214pt0pt">
    <w:name w:val="Заголовок №2 + 14 pt;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Заголовок №4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9pt">
    <w:name w:val="Основной текст (4) + 9 pt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4pt">
    <w:name w:val="Основной текст (4) + 14 pt"/>
    <w:basedOn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540" w:after="5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18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420" w:line="0" w:lineRule="atLeast"/>
      <w:outlineLvl w:val="1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540" w:after="6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140" w:after="42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line="360" w:lineRule="exact"/>
      <w:ind w:hanging="104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6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832B2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2B2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online.su/download/99-ins-o-nalogovoj-sisteme-prinyat-postanovleniem-narodnogo-soveta-25-12-2015-opublikovan-19-01-2016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online.su/download/99-ins-o-nalogovoj-sisteme-prinyat-postanovleniem-narodnogo-soveta-25-12-2015-opublikovan-19-01-2016g/" TargetMode="External"/><Relationship Id="rId10" Type="http://schemas.openxmlformats.org/officeDocument/2006/relationships/hyperlink" Target="https://dnronline.su/download/99-ins-o-nalogovoj-sisteme-prinyat-postanovleniem-narodnogo-soveta-25-12-2015-opublikovan-19-01-2016g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99-ins-o-nalogovoj-sisteme-prinyat-postanovleniem-narodnogo-soveta-25-12-2015-opublikovan-19-01-2016g/" TargetMode="External"/><Relationship Id="rId14" Type="http://schemas.openxmlformats.org/officeDocument/2006/relationships/hyperlink" Target="https://dnronline.su/download/99-ins-o-nalogovoj-sisteme-prinyat-postanovleniem-narodnogo-soveta-25-12-2015-opublikovan-19-01-2016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2014</Words>
  <Characters>11484</Characters>
  <Application>Microsoft Office Word</Application>
  <DocSecurity>0</DocSecurity>
  <Lines>95</Lines>
  <Paragraphs>26</Paragraphs>
  <ScaleCrop>false</ScaleCrop>
  <Company/>
  <LinksUpToDate>false</LinksUpToDate>
  <CharactersWithSpaces>13472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2019-10-09T14:00:00Z</dcterms:created>
  <dcterms:modified xsi:type="dcterms:W3CDTF">2019-10-09T14:46:00Z</dcterms:modified>
</cp:coreProperties>
</file>