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64" w:rsidRPr="009E5214" w:rsidRDefault="00C60164" w:rsidP="00C6016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E5214">
        <w:rPr>
          <w:rFonts w:ascii="Times New Roman" w:eastAsia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6EABF2F" wp14:editId="26B567FC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64" w:rsidRPr="009E5214" w:rsidRDefault="00555802" w:rsidP="00C6016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E5214">
        <w:rPr>
          <w:rFonts w:ascii="Times New Roman" w:eastAsia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C60164" w:rsidRPr="009E5214" w:rsidRDefault="00C60164" w:rsidP="00C6016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</w:pPr>
      <w:r w:rsidRPr="009E5214">
        <w:rPr>
          <w:rFonts w:ascii="Times New Roman" w:eastAsia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C60164" w:rsidRPr="009E5214" w:rsidRDefault="00C60164" w:rsidP="00C6016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</w:pPr>
    </w:p>
    <w:p w:rsidR="00C60164" w:rsidRPr="009E5214" w:rsidRDefault="00C60164" w:rsidP="00C6016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</w:pPr>
    </w:p>
    <w:p w:rsidR="00363245" w:rsidRDefault="00D70B16" w:rsidP="00C601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54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ЗАКОН</w:t>
      </w:r>
    </w:p>
    <w:p w:rsidR="00363245" w:rsidRDefault="00D70B16" w:rsidP="00C601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54E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:rsidR="00D70B16" w:rsidRDefault="00D70B16" w:rsidP="00C601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54E">
        <w:rPr>
          <w:rFonts w:ascii="Times New Roman" w:eastAsia="Times New Roman" w:hAnsi="Times New Roman"/>
          <w:b/>
          <w:sz w:val="28"/>
          <w:szCs w:val="28"/>
          <w:lang w:eastAsia="ru-RU"/>
        </w:rPr>
        <w:t>«ОБ ОБРАЗОВАНИИ»</w:t>
      </w:r>
    </w:p>
    <w:p w:rsidR="00C60164" w:rsidRPr="009E5214" w:rsidRDefault="00C60164" w:rsidP="00C60164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</w:p>
    <w:p w:rsidR="00C60164" w:rsidRPr="009E5214" w:rsidRDefault="00C60164" w:rsidP="00C60164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</w:p>
    <w:p w:rsidR="00C60164" w:rsidRPr="009E5214" w:rsidRDefault="00C60164" w:rsidP="00C6016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9E5214">
        <w:rPr>
          <w:rFonts w:ascii="Times New Roman" w:eastAsia="Times New Roman" w:hAnsi="Times New Roman"/>
          <w:b/>
          <w:sz w:val="28"/>
          <w:szCs w:val="28"/>
        </w:rPr>
        <w:t>Принят</w:t>
      </w:r>
      <w:proofErr w:type="gramEnd"/>
      <w:r w:rsidRPr="009E5214">
        <w:rPr>
          <w:rFonts w:ascii="Times New Roman" w:eastAsia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Pr="009E52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ок</w:t>
      </w:r>
      <w:r w:rsidRPr="009E5214">
        <w:rPr>
          <w:rFonts w:ascii="Times New Roman" w:eastAsia="Times New Roman" w:hAnsi="Times New Roman"/>
          <w:b/>
          <w:sz w:val="28"/>
          <w:szCs w:val="28"/>
        </w:rPr>
        <w:t>тября 2019 года</w:t>
      </w:r>
    </w:p>
    <w:p w:rsidR="00C60164" w:rsidRPr="009E5214" w:rsidRDefault="00C60164" w:rsidP="00C60164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</w:p>
    <w:p w:rsidR="00C60164" w:rsidRPr="009E5214" w:rsidRDefault="00C60164" w:rsidP="00C60164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451DB" w:rsidRPr="00C60164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6016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Pr="00173DB9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Закон Донецкой Народной Республики от 19 июня</w:t>
        </w:r>
        <w:r w:rsidRPr="00173DB9">
          <w:rPr>
            <w:rStyle w:val="ae"/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Pr="00173DB9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 xml:space="preserve">2015 года </w:t>
        </w:r>
        <w:r w:rsidR="00CA56CF" w:rsidRPr="00173DB9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Pr="00173DB9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№ 55-ІНС «Об образовании»</w:t>
        </w:r>
      </w:hyperlink>
      <w:r w:rsidRPr="00C601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(опубликован на официальном сайте Народного Совета Донецкой Народной Республики 8 июля 2015 года) следующие изменения: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1) в части 3 статьи 50 слова «договора о целевом приеме и» исключить;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статью 53 изложить в следующей редакции:</w:t>
      </w:r>
    </w:p>
    <w:p w:rsidR="00D70B16" w:rsidRPr="00C60164" w:rsidRDefault="00D70B16" w:rsidP="004451DB">
      <w:pPr>
        <w:tabs>
          <w:tab w:val="left" w:pos="2552"/>
        </w:tabs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«Статья 53.</w:t>
      </w:r>
      <w:r w:rsidRPr="00C60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Целевое обучение</w:t>
      </w:r>
    </w:p>
    <w:p w:rsidR="005965AC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Гражданин, поступающий на обучение по образовательной программе</w:t>
      </w:r>
      <w:r w:rsidR="00CA56CF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профессионального,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</w:t>
      </w:r>
      <w:r w:rsidR="005965AC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дополнительной образовательной программе (по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="005965AC" w:rsidRPr="00C60164">
        <w:rPr>
          <w:rFonts w:ascii="Times New Roman" w:eastAsia="Times New Roman" w:hAnsi="Times New Roman"/>
          <w:sz w:val="28"/>
          <w:szCs w:val="28"/>
          <w:lang w:eastAsia="ru-RU"/>
        </w:rPr>
        <w:t>ассистентуры</w:t>
      </w:r>
      <w:proofErr w:type="spellEnd"/>
      <w:r w:rsidR="005965AC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-стажировки)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обучающийся по соответствующей образовательной программе, вправе заключить договор о целевом обучении с </w:t>
      </w:r>
      <w:r w:rsidR="00FB7E6C" w:rsidRPr="00C6016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органом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Республики, органом местного самоуправления, юридиче</w:t>
      </w:r>
      <w:r w:rsidR="00AC3B3B" w:rsidRPr="00C60164">
        <w:rPr>
          <w:rFonts w:ascii="Times New Roman" w:eastAsia="Times New Roman" w:hAnsi="Times New Roman"/>
          <w:sz w:val="28"/>
          <w:szCs w:val="28"/>
          <w:lang w:eastAsia="ru-RU"/>
        </w:rPr>
        <w:t>ским лицом или физическим лицом</w:t>
      </w:r>
      <w:r w:rsidR="007A1738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предпринимателем (далее –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 целевого обучения).</w:t>
      </w:r>
      <w:r w:rsidR="005965AC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965AC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Существенными условиями договора о целевом обучении являются:</w:t>
      </w:r>
    </w:p>
    <w:p w:rsidR="005965AC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 обязательства заказчика целевого обучения:</w:t>
      </w:r>
    </w:p>
    <w:p w:rsidR="005965AC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а) по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а также иные меры, определенные в рамках договора о целевом обучении;</w:t>
      </w:r>
    </w:p>
    <w:p w:rsidR="005965AC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б) 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5965AC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2) обязательства гражданина, заключившего договор о целевом обучении:</w:t>
      </w:r>
    </w:p>
    <w:p w:rsidR="005965AC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а) по освоению образовательной программы, указанной в договоре о целевом обучении (с возможностью изменения образовательной программы и (или) формы 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обучения по согласованию</w:t>
      </w:r>
      <w:proofErr w:type="gramEnd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заказчиком целевого обучения);</w:t>
      </w:r>
    </w:p>
    <w:p w:rsidR="005965AC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б) по осуществлению трудовой деятельности в течение не менее трех лет в соответствии с полученной квалификацией с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учетом трудоустройства в срок, установленный таким договором.</w:t>
      </w:r>
    </w:p>
    <w:p w:rsidR="00D70B16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3. Сторонами договора о целевом обучении наряду с </w:t>
      </w:r>
      <w:r w:rsidR="00CA56CF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гражданином, указанным в части 1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D70B16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. Заказчики целевого обучения обеспечивают открытость и доступность информации о возможности заключения договоров о целевом обучении, за исключением сведений о целевом </w:t>
      </w:r>
      <w:proofErr w:type="gramStart"/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профессиональным образовательным программам в республиканских государств</w:t>
      </w:r>
      <w:r w:rsidR="0020521B" w:rsidRPr="00C60164">
        <w:rPr>
          <w:rFonts w:ascii="Times New Roman" w:eastAsia="Times New Roman" w:hAnsi="Times New Roman"/>
          <w:sz w:val="28"/>
          <w:szCs w:val="28"/>
          <w:lang w:eastAsia="ru-RU"/>
        </w:rPr>
        <w:t>енных организациях,</w:t>
      </w:r>
      <w:r w:rsidR="00DC0177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образовательную деятельность,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="0020521B" w:rsidRPr="00C60164">
        <w:rPr>
          <w:rFonts w:ascii="Times New Roman" w:eastAsia="Times New Roman" w:hAnsi="Times New Roman"/>
          <w:sz w:val="28"/>
          <w:szCs w:val="28"/>
          <w:lang w:eastAsia="ru-RU"/>
        </w:rPr>
        <w:t>в части 1 статьи 78 настоящего З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акона. </w:t>
      </w:r>
    </w:p>
    <w:p w:rsidR="00D70B16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. Организация, осуществляющая образовательную деятельность, в которой обучается гражданин, заключивший договор о целевом обучении, по 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запросу представляет заказчику целевого обучения сведения о результатах освоения образовательной программы гражданином, с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которым заключен договор о целевом обучении.</w:t>
      </w:r>
    </w:p>
    <w:p w:rsidR="00D70B16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В случае неисполнения заказчиком целевого обучения предусмотренных договором о целевом обучении обязательств по трудоустройству заказчик целевого обучения выплачивает гражданину, заключившему договор о целевом обучении, компенсацию в сумме, равной трехкратной величине среднемесячной начисленной заработной платы в</w:t>
      </w:r>
      <w:r w:rsidRPr="00C6016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Республике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,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  <w:proofErr w:type="gramEnd"/>
    </w:p>
    <w:p w:rsidR="00D70B16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В случае неисполнения гражданином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, заключившим договор о целевом обучении,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договором о целевом обучении обязательств по освоению образовательной программы и (или) осуществлению трудовой деятельности в течение трех лет он обязан возместить заказчику целевого обучения в полном объеме расходы, связанные </w:t>
      </w:r>
      <w:r w:rsidR="00A11E63" w:rsidRPr="00C601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мер социальной поддержки. </w:t>
      </w:r>
      <w:proofErr w:type="gramEnd"/>
    </w:p>
    <w:p w:rsidR="00D70B16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. 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 и возмещения расходов, а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также типовая форма договора</w:t>
      </w:r>
      <w:r w:rsidR="0020521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о целевом обучении устанавливае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Правительством Донецкой Народной Республики. </w:t>
      </w:r>
    </w:p>
    <w:p w:rsidR="00D70B16" w:rsidRPr="00C60164" w:rsidRDefault="005965AC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. Заключение договора о целевом обучении, стороной которого являе</w:t>
      </w:r>
      <w:r w:rsidR="00FB7E6C" w:rsidRPr="00C60164">
        <w:rPr>
          <w:rFonts w:ascii="Times New Roman" w:eastAsia="Times New Roman" w:hAnsi="Times New Roman"/>
          <w:sz w:val="28"/>
          <w:szCs w:val="28"/>
          <w:lang w:eastAsia="ru-RU"/>
        </w:rPr>
        <w:t>тся государственный орган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 или орган местного самоуправления, с обязательством гражданина по прохождению государственной службы или муниципальной службы после окончания обучения осуществляется в порядке, установленном законами о видах государственной службы или законодательством о муниципальной службе</w:t>
      </w:r>
      <w:proofErr w:type="gramStart"/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D70B16" w:rsidRPr="00C60164" w:rsidRDefault="00520A4D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3) в части 3 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67 слова «в том числе целевой прием» заменить словами «в том числе прием на целевое </w:t>
      </w:r>
      <w:proofErr w:type="gramStart"/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высшего </w:t>
      </w:r>
      <w:r w:rsidR="00B56C87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образования»;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4) дополнить статьей 67</w:t>
      </w:r>
      <w:r w:rsidRPr="00C6016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«Статья 67</w:t>
      </w:r>
      <w:r w:rsidRPr="00C6016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0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Особенности приема на целевое </w:t>
      </w:r>
      <w:proofErr w:type="gramStart"/>
      <w:r w:rsidRPr="00C60164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 по</w:t>
      </w:r>
      <w:proofErr w:type="gramEnd"/>
      <w:r w:rsidRPr="00C60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образовательным программам высшего профессионального образования</w:t>
      </w:r>
    </w:p>
    <w:p w:rsidR="00D70B16" w:rsidRPr="00C60164" w:rsidRDefault="008064AD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1. Право п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рием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целевое </w:t>
      </w:r>
      <w:proofErr w:type="gramStart"/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высшего профессионального образования за счет бюджетных ассигнований Республиканского бюджета Донецкой Народной Республики в пределах установленной квоты имеют граждане, которые в соответ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ствии со статьей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53 настоящего З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>акона заключили договор о целевом обучении с заказчиками целевого обучения, являющимися:</w:t>
      </w:r>
    </w:p>
    <w:p w:rsidR="00D70B16" w:rsidRPr="00C60164" w:rsidRDefault="008064AD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FB7E6C" w:rsidRPr="00C6016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органами</w:t>
      </w:r>
      <w:r w:rsidR="00D70B16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Республики, органами местного самоуправления;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2) государственными и муниципальными учреждениями, </w:t>
      </w:r>
      <w:r w:rsidR="00B56C87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государственными и муниципальными (коммунальными)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унитарными предприятиями;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B56C87" w:rsidRPr="00C60164">
        <w:rPr>
          <w:rFonts w:ascii="Times New Roman" w:eastAsia="Times New Roman" w:hAnsi="Times New Roman"/>
          <w:sz w:val="28"/>
          <w:szCs w:val="28"/>
          <w:lang w:eastAsia="ru-RU"/>
        </w:rPr>
        <w:t> государственными корпорациями;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4) государственными компаниями;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5) хозяйственными обществами, в уставном капитале которых присутствует доля Донецкой Народной Республики или муниципального образования;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6) 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7) дочерними хозяйственными обществами организаций, указанных в пунктах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3F32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6 настоящей части;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8) организациями, которые созданы государственными корпорациями или переданы государственным корпорациям в со</w:t>
      </w:r>
      <w:r w:rsidR="00B56C87" w:rsidRPr="00C60164">
        <w:rPr>
          <w:rFonts w:ascii="Times New Roman" w:eastAsia="Times New Roman" w:hAnsi="Times New Roman"/>
          <w:sz w:val="28"/>
          <w:szCs w:val="28"/>
          <w:lang w:eastAsia="ru-RU"/>
        </w:rPr>
        <w:t>ответствии с законодательством Донецкой Народной Республики</w:t>
      </w:r>
      <w:r w:rsidR="0055263D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указанных корпорациях;</w:t>
      </w:r>
    </w:p>
    <w:p w:rsidR="0055263D" w:rsidRPr="00C60164" w:rsidRDefault="0055263D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иными организациями, созданными Донецкой Народной Республикой или муниципальным образованием.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Квота приема на целевое 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обучение по специальностям</w:t>
      </w:r>
      <w:proofErr w:type="gramEnd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, направлениям подготовки высшего профессионального образования за счет бюджетных ассигнований Республиканского бюджета Донецкой Народной Республики устанавливается с учетом потребностей экономики Донецкой Народной Республики в квалифицированных кадрах и отраслевых особенностей Правительством Донецкой Народной Республики.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установления квоты приема на целевое обучение за счет бюджетных ассигнований Республиканского бюджета Донецкой Народной Республики утверждается Правительством </w:t>
      </w:r>
      <w:r w:rsidR="008064AD" w:rsidRPr="00C60164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Донецкой Народной Республики вправе устанавливать квоту приема на целевое 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конкретным специальностям, направлениям подготовки высшег</w:t>
      </w:r>
      <w:r w:rsidR="0055263D" w:rsidRPr="00C60164">
        <w:rPr>
          <w:rFonts w:ascii="Times New Roman" w:eastAsia="Times New Roman" w:hAnsi="Times New Roman"/>
          <w:sz w:val="28"/>
          <w:szCs w:val="28"/>
          <w:lang w:eastAsia="ru-RU"/>
        </w:rPr>
        <w:t>о профессионального образования.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Прием на целевое обучение по образовательным программам высшего профессионального образования в пределах установленной квоты осуществляется по конкурсу, проводимому в соответствии с порядком приема, предусмотренным</w:t>
      </w:r>
      <w:r w:rsidR="003C3271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271" w:rsidRPr="00C60164">
        <w:rPr>
          <w:rFonts w:ascii="Times New Roman" w:eastAsia="Times New Roman" w:hAnsi="Times New Roman"/>
          <w:sz w:val="28"/>
          <w:szCs w:val="28"/>
          <w:lang w:eastAsia="ru-RU"/>
        </w:rPr>
        <w:t>8 статьи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271" w:rsidRPr="00C60164">
        <w:rPr>
          <w:rFonts w:ascii="Times New Roman" w:eastAsia="Times New Roman" w:hAnsi="Times New Roman"/>
          <w:sz w:val="28"/>
          <w:szCs w:val="28"/>
          <w:lang w:eastAsia="ru-RU"/>
        </w:rPr>
        <w:t>52 настоящего З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акона, по специальностям, направлениям подготовки высшего профессионального образования, перечень которых определяется Правительством Донецкой Народной Республики.</w:t>
      </w:r>
      <w:proofErr w:type="gramEnd"/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В случае неисполнения заказчиком целевого обучения обязательства по трудоустройству гражданина, а гражд</w:t>
      </w:r>
      <w:r w:rsidR="008064AD" w:rsidRPr="00C60164">
        <w:rPr>
          <w:rFonts w:ascii="Times New Roman" w:eastAsia="Times New Roman" w:hAnsi="Times New Roman"/>
          <w:sz w:val="28"/>
          <w:szCs w:val="28"/>
          <w:lang w:eastAsia="ru-RU"/>
        </w:rPr>
        <w:t>анином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обязательства по осуществлению трудовой деятельности в течение трех лет наряду с ответственностью, предусмотренной част</w:t>
      </w:r>
      <w:r w:rsidR="008064AD" w:rsidRPr="00C60164">
        <w:rPr>
          <w:rFonts w:ascii="Times New Roman" w:eastAsia="Times New Roman" w:hAnsi="Times New Roman"/>
          <w:sz w:val="28"/>
          <w:szCs w:val="28"/>
          <w:lang w:eastAsia="ru-RU"/>
        </w:rPr>
        <w:t>ями 5 и 6 статьи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4AD" w:rsidRPr="00C60164">
        <w:rPr>
          <w:rFonts w:ascii="Times New Roman" w:eastAsia="Times New Roman" w:hAnsi="Times New Roman"/>
          <w:sz w:val="28"/>
          <w:szCs w:val="28"/>
          <w:lang w:eastAsia="ru-RU"/>
        </w:rPr>
        <w:t>53 настоящего З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соответственно, заказчик </w:t>
      </w:r>
      <w:r w:rsidR="003C3271" w:rsidRPr="00C60164">
        <w:rPr>
          <w:rFonts w:ascii="Times New Roman" w:eastAsia="Times New Roman" w:hAnsi="Times New Roman"/>
          <w:sz w:val="28"/>
          <w:szCs w:val="28"/>
          <w:lang w:eastAsia="ru-RU"/>
        </w:rPr>
        <w:t>целевого обучения или гражданин</w:t>
      </w:r>
      <w:r w:rsidR="0062414A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принятый на целевое обучение в соответствии с частью 1 настоящей статьи,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выплачива</w:t>
      </w:r>
      <w:r w:rsidR="008D3AA9" w:rsidRPr="00C601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т организациям, осуществляющим образовательную деятельность, штраф в размере расходов</w:t>
      </w:r>
      <w:r w:rsidR="0062414A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Республиканского</w:t>
      </w:r>
      <w:proofErr w:type="gramEnd"/>
      <w:r w:rsidR="0062414A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Донецкой Народной Республики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, за счет средств которых обучается гражданин, на получение образования, который направляется на финансовое обеспечение образовательной деятельности по образовательным программам высшего профессионального образования. Порядок выплаты указанного штрафа, включая порядок определения его размера и направления его на финансовое обеспечение образовательной деятельности по образовательным программам высшего профессионального образования за счет средств бюджетных ассигнований Республиканского бюджета Донецкой Народной Республики, устанавливается Правительством Донецкой Народной Респуб</w:t>
      </w:r>
      <w:r w:rsidR="000E71F9" w:rsidRPr="00C60164">
        <w:rPr>
          <w:rFonts w:ascii="Times New Roman" w:eastAsia="Times New Roman" w:hAnsi="Times New Roman"/>
          <w:sz w:val="28"/>
          <w:szCs w:val="28"/>
          <w:lang w:eastAsia="ru-RU"/>
        </w:rPr>
        <w:t>лики</w:t>
      </w:r>
      <w:proofErr w:type="gramStart"/>
      <w:r w:rsidR="000E71F9" w:rsidRPr="00C60164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991E53" w:rsidRPr="00C601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End"/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 статью 96 изложить в следующей редакции:</w:t>
      </w:r>
    </w:p>
    <w:p w:rsidR="00D70B16" w:rsidRPr="00C60164" w:rsidRDefault="00D70B16" w:rsidP="004451D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Статья</w:t>
      </w:r>
      <w:r w:rsidR="004451DB"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  <w:r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96.</w:t>
      </w:r>
      <w:r w:rsidRPr="00C6016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Контрольные цифры приема на обучение за счет бюджетных ассигнований Республиканского бюджета Донецкой Народной Республики</w:t>
      </w:r>
    </w:p>
    <w:p w:rsidR="00D70B16" w:rsidRPr="00C60164" w:rsidRDefault="00D70B16" w:rsidP="004451D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Число обучающихся по имеющим государственную аккредитацию образовательным программам среднего профессионального и высшего профессионального образования, дополнительным профессиональным программам за счет бюджетных ассигнований Республиканского бюджета Донецкой Народной Республики определяется на основе контрольных цифр приема на обучение по профессиям, специальностям и направлениям подготовки за счет бюджетных ассигнований Республиканского бюджета Донец</w:t>
      </w:r>
      <w:r w:rsidR="003C3271" w:rsidRPr="00C60164">
        <w:rPr>
          <w:rFonts w:ascii="Times New Roman" w:eastAsia="Times New Roman" w:hAnsi="Times New Roman"/>
          <w:sz w:val="28"/>
          <w:szCs w:val="28"/>
          <w:lang w:eastAsia="uk-UA"/>
        </w:rPr>
        <w:t>кой Народной Республики (далее –</w:t>
      </w: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контрольные цифры приема).</w:t>
      </w:r>
      <w:proofErr w:type="gramEnd"/>
    </w:p>
    <w:p w:rsidR="00D70B16" w:rsidRPr="00C60164" w:rsidRDefault="00D70B16" w:rsidP="004451D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Порядок формирования и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образования, дополнительным профессиональным прог</w:t>
      </w:r>
      <w:r w:rsidR="003C3271" w:rsidRPr="00C60164">
        <w:rPr>
          <w:rFonts w:ascii="Times New Roman" w:eastAsia="Times New Roman" w:hAnsi="Times New Roman"/>
          <w:sz w:val="28"/>
          <w:szCs w:val="28"/>
          <w:lang w:eastAsia="uk-UA"/>
        </w:rPr>
        <w:t>раммам</w:t>
      </w:r>
      <w:r w:rsidR="00B13F32" w:rsidRPr="00C6016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3C3271" w:rsidRPr="00C60164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контрольных цифр приема </w:t>
      </w: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утверждается Правительством Донецкой Народной Республики.</w:t>
      </w:r>
      <w:proofErr w:type="gramEnd"/>
    </w:p>
    <w:p w:rsidR="00D70B16" w:rsidRPr="00C60164" w:rsidRDefault="00D70B16" w:rsidP="004451DB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ри установлении контрольных цифр приема на обучение по профессиям, специальностям и направлениям подготовки за счет бюджетных ассигнований Республиканского бюджета Донецкой Народной Республики могут также устанавливаться дополнительные квоты для отдельных категорий лиц (сверх общего объема </w:t>
      </w: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контрольных цифр приема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), распределение которых осуществляет республиканский орган исполнительной власти, обеспечивающий формирование и реализацию государственной политики в сфере образования и науки.</w:t>
      </w:r>
      <w:proofErr w:type="gramEnd"/>
    </w:p>
    <w:p w:rsidR="00D70B16" w:rsidRPr="00C60164" w:rsidRDefault="00D70B16" w:rsidP="004451D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4.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Контрольные цифры приема распределяются по результатам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образования, дополнительным профессиональным программам.</w:t>
      </w:r>
      <w:proofErr w:type="gramEnd"/>
    </w:p>
    <w:p w:rsidR="00D70B16" w:rsidRPr="00C60164" w:rsidRDefault="00D70B16" w:rsidP="004451DB">
      <w:pPr>
        <w:tabs>
          <w:tab w:val="left" w:pos="2552"/>
        </w:tabs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5.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proofErr w:type="gramStart"/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 xml:space="preserve">Организации, осуществляющие образовательную деятельность по основным профессиональным образовательным программам, дополнительным </w:t>
      </w: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профессиональным программам вправе осуществлять в пределах установленных им контрольных цифр 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прием на целевое обучение по образовательным программам высшего профессионального образования в порядке, утвержденном в соответствии со статьей 67</w:t>
      </w:r>
      <w:r w:rsidRPr="00C6016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B72BD2" w:rsidRPr="00C6016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Pr="00C60164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B72BD2" w:rsidRPr="00C60164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605FB9" w:rsidRPr="00C6016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23B03" w:rsidRPr="00C60164" w:rsidRDefault="00B23B03" w:rsidP="004451DB">
      <w:pPr>
        <w:tabs>
          <w:tab w:val="left" w:pos="2552"/>
        </w:tabs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4451DB" w:rsidRPr="00C601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дополнить статьей 107 следующего содержания:</w:t>
      </w:r>
    </w:p>
    <w:p w:rsidR="00B23B03" w:rsidRPr="00C60164" w:rsidRDefault="00B23B03" w:rsidP="004451D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C601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Статья</w:t>
      </w:r>
      <w:r w:rsidR="004451DB"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  <w:r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107.</w:t>
      </w:r>
      <w:r w:rsidRPr="00C6016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Переходные положения</w:t>
      </w:r>
    </w:p>
    <w:p w:rsidR="00B23B03" w:rsidRPr="00B664EA" w:rsidRDefault="00B23B03" w:rsidP="00C6016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Пункты 2, 4</w:t>
      </w:r>
      <w:r w:rsidR="00605FB9"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–</w:t>
      </w:r>
      <w:r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7 части 1 статьи 67</w:t>
      </w:r>
      <w:r w:rsidRPr="00C60164">
        <w:rPr>
          <w:rFonts w:ascii="Times New Roman" w:eastAsia="Times New Roman" w:hAnsi="Times New Roman"/>
          <w:bCs/>
          <w:sz w:val="28"/>
          <w:szCs w:val="28"/>
          <w:vertAlign w:val="superscript"/>
          <w:lang w:eastAsia="uk-UA"/>
        </w:rPr>
        <w:t>1</w:t>
      </w:r>
      <w:r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вступают в силу со дня вступления в силу Гражданского кодекса Донецкой Народной Республики</w:t>
      </w:r>
      <w:proofErr w:type="gramStart"/>
      <w:r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B664EA" w:rsidRPr="00C60164">
        <w:rPr>
          <w:rFonts w:ascii="Times New Roman" w:eastAsia="Times New Roman" w:hAnsi="Times New Roman"/>
          <w:bCs/>
          <w:sz w:val="28"/>
          <w:szCs w:val="28"/>
          <w:lang w:eastAsia="uk-UA"/>
        </w:rPr>
        <w:t>».</w:t>
      </w:r>
      <w:proofErr w:type="gramEnd"/>
    </w:p>
    <w:p w:rsidR="00C60164" w:rsidRPr="009E5214" w:rsidRDefault="00C60164" w:rsidP="00C60164">
      <w:pPr>
        <w:tabs>
          <w:tab w:val="left" w:pos="681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C60164" w:rsidRDefault="00C60164" w:rsidP="00C60164">
      <w:pPr>
        <w:tabs>
          <w:tab w:val="left" w:pos="681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C60164" w:rsidRPr="009E5214" w:rsidRDefault="00C60164" w:rsidP="00C60164">
      <w:pPr>
        <w:tabs>
          <w:tab w:val="left" w:pos="681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C60164" w:rsidRPr="009E5214" w:rsidRDefault="00C60164" w:rsidP="00C60164">
      <w:pPr>
        <w:tabs>
          <w:tab w:val="left" w:pos="681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C60164" w:rsidRPr="009E5214" w:rsidRDefault="00C60164" w:rsidP="00C60164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C60164" w:rsidRPr="009E5214" w:rsidRDefault="00C60164" w:rsidP="00C60164">
      <w:pPr>
        <w:widowControl w:val="0"/>
        <w:suppressAutoHyphens/>
        <w:autoSpaceDN w:val="0"/>
        <w:spacing w:after="120" w:line="240" w:lineRule="auto"/>
        <w:ind w:right="-284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3456DE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C60164" w:rsidRPr="009E5214" w:rsidRDefault="00C60164" w:rsidP="00C60164">
      <w:pPr>
        <w:widowControl w:val="0"/>
        <w:suppressAutoHyphens/>
        <w:autoSpaceDN w:val="0"/>
        <w:spacing w:after="120" w:line="240" w:lineRule="auto"/>
        <w:ind w:right="-1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C60164" w:rsidRPr="009E5214" w:rsidRDefault="00173DB9" w:rsidP="00C60164">
      <w:pPr>
        <w:widowControl w:val="0"/>
        <w:suppressAutoHyphens/>
        <w:autoSpaceDN w:val="0"/>
        <w:spacing w:after="120" w:line="240" w:lineRule="auto"/>
        <w:ind w:right="-1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22 октября</w:t>
      </w:r>
      <w:r w:rsidR="00C60164"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C60164" w:rsidRPr="009E5214" w:rsidRDefault="00C60164" w:rsidP="00C60164">
      <w:pPr>
        <w:widowControl w:val="0"/>
        <w:tabs>
          <w:tab w:val="left" w:pos="7797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173DB9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64-IIНС</w:t>
      </w:r>
    </w:p>
    <w:p w:rsidR="00D70B16" w:rsidRPr="00B664EA" w:rsidRDefault="00D70B16" w:rsidP="00C6016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70B16" w:rsidRPr="00B664EA" w:rsidSect="004451DB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E9" w:rsidRDefault="008C6BE9" w:rsidP="004E7F1B">
      <w:pPr>
        <w:spacing w:after="0" w:line="240" w:lineRule="auto"/>
      </w:pPr>
      <w:r>
        <w:separator/>
      </w:r>
    </w:p>
  </w:endnote>
  <w:endnote w:type="continuationSeparator" w:id="0">
    <w:p w:rsidR="008C6BE9" w:rsidRDefault="008C6BE9" w:rsidP="004E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E9" w:rsidRDefault="008C6BE9" w:rsidP="004E7F1B">
      <w:pPr>
        <w:spacing w:after="0" w:line="240" w:lineRule="auto"/>
      </w:pPr>
      <w:r>
        <w:separator/>
      </w:r>
    </w:p>
  </w:footnote>
  <w:footnote w:type="continuationSeparator" w:id="0">
    <w:p w:rsidR="008C6BE9" w:rsidRDefault="008C6BE9" w:rsidP="004E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18432623"/>
      <w:docPartObj>
        <w:docPartGallery w:val="Page Numbers (Top of Page)"/>
        <w:docPartUnique/>
      </w:docPartObj>
    </w:sdtPr>
    <w:sdtEndPr/>
    <w:sdtContent>
      <w:p w:rsidR="00D10013" w:rsidRPr="00855D16" w:rsidRDefault="00D1001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55D16">
          <w:rPr>
            <w:rFonts w:ascii="Times New Roman" w:hAnsi="Times New Roman"/>
            <w:sz w:val="24"/>
            <w:szCs w:val="24"/>
          </w:rPr>
          <w:fldChar w:fldCharType="begin"/>
        </w:r>
        <w:r w:rsidRPr="00855D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5D16">
          <w:rPr>
            <w:rFonts w:ascii="Times New Roman" w:hAnsi="Times New Roman"/>
            <w:sz w:val="24"/>
            <w:szCs w:val="24"/>
          </w:rPr>
          <w:fldChar w:fldCharType="separate"/>
        </w:r>
        <w:r w:rsidR="003456DE">
          <w:rPr>
            <w:rFonts w:ascii="Times New Roman" w:hAnsi="Times New Roman"/>
            <w:noProof/>
            <w:sz w:val="24"/>
            <w:szCs w:val="24"/>
          </w:rPr>
          <w:t>7</w:t>
        </w:r>
        <w:r w:rsidRPr="00855D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E7F1B" w:rsidRDefault="004E7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C9"/>
    <w:rsid w:val="00023C6D"/>
    <w:rsid w:val="000D6767"/>
    <w:rsid w:val="000E71F9"/>
    <w:rsid w:val="001317EC"/>
    <w:rsid w:val="00173DB9"/>
    <w:rsid w:val="001C15B6"/>
    <w:rsid w:val="0020521B"/>
    <w:rsid w:val="00235F2B"/>
    <w:rsid w:val="002C208A"/>
    <w:rsid w:val="003456DE"/>
    <w:rsid w:val="00363245"/>
    <w:rsid w:val="0038154E"/>
    <w:rsid w:val="003A77AC"/>
    <w:rsid w:val="003C3271"/>
    <w:rsid w:val="004236DF"/>
    <w:rsid w:val="004276DF"/>
    <w:rsid w:val="004451DB"/>
    <w:rsid w:val="004E7F1B"/>
    <w:rsid w:val="00520A4D"/>
    <w:rsid w:val="0055263D"/>
    <w:rsid w:val="00555802"/>
    <w:rsid w:val="005658A7"/>
    <w:rsid w:val="005965AC"/>
    <w:rsid w:val="005A4657"/>
    <w:rsid w:val="00605FB9"/>
    <w:rsid w:val="0062414A"/>
    <w:rsid w:val="00685864"/>
    <w:rsid w:val="00712EBB"/>
    <w:rsid w:val="00732D64"/>
    <w:rsid w:val="0073401E"/>
    <w:rsid w:val="00750057"/>
    <w:rsid w:val="007818D3"/>
    <w:rsid w:val="00785C12"/>
    <w:rsid w:val="007A1738"/>
    <w:rsid w:val="007F5B52"/>
    <w:rsid w:val="008064AD"/>
    <w:rsid w:val="00855D16"/>
    <w:rsid w:val="008C1340"/>
    <w:rsid w:val="008C6BE9"/>
    <w:rsid w:val="008D3AA9"/>
    <w:rsid w:val="00991E53"/>
    <w:rsid w:val="009C58B5"/>
    <w:rsid w:val="009C5CCE"/>
    <w:rsid w:val="00A11E63"/>
    <w:rsid w:val="00A17E3A"/>
    <w:rsid w:val="00AA6E73"/>
    <w:rsid w:val="00AC3B3B"/>
    <w:rsid w:val="00B13F32"/>
    <w:rsid w:val="00B23B03"/>
    <w:rsid w:val="00B56C87"/>
    <w:rsid w:val="00B664EA"/>
    <w:rsid w:val="00B72BD2"/>
    <w:rsid w:val="00C10793"/>
    <w:rsid w:val="00C60164"/>
    <w:rsid w:val="00C6253D"/>
    <w:rsid w:val="00C777C9"/>
    <w:rsid w:val="00C950C8"/>
    <w:rsid w:val="00CA56CF"/>
    <w:rsid w:val="00CD5409"/>
    <w:rsid w:val="00D10013"/>
    <w:rsid w:val="00D34891"/>
    <w:rsid w:val="00D70B16"/>
    <w:rsid w:val="00DC0177"/>
    <w:rsid w:val="00E0368D"/>
    <w:rsid w:val="00FA11E5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F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F1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01E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A46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4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465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4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4657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73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F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F1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01E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A46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4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465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4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4657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7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55-ins-ob-obrazovanii-dejstvuyushhaya-redaktsiya-po-sostoyaniyu-na-20-06-2019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F6FC-2515-40B1-BC8D-8A40C5D6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Ксения Владимировна</dc:creator>
  <cp:lastModifiedBy>user</cp:lastModifiedBy>
  <cp:revision>4</cp:revision>
  <cp:lastPrinted>2019-10-18T12:00:00Z</cp:lastPrinted>
  <dcterms:created xsi:type="dcterms:W3CDTF">2019-10-28T14:23:00Z</dcterms:created>
  <dcterms:modified xsi:type="dcterms:W3CDTF">2019-10-29T09:34:00Z</dcterms:modified>
</cp:coreProperties>
</file>