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6A" w:rsidRPr="00CC236A" w:rsidRDefault="00CC236A" w:rsidP="00CC236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236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C236A" w:rsidRPr="00CC236A" w:rsidRDefault="00CC236A" w:rsidP="00CC236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CC236A">
        <w:rPr>
          <w:rFonts w:ascii="Times New Roman" w:hAnsi="Times New Roman" w:cs="Times New Roman"/>
          <w:sz w:val="28"/>
          <w:szCs w:val="28"/>
        </w:rPr>
        <w:t>к Правилам осуществления</w:t>
      </w:r>
    </w:p>
    <w:p w:rsidR="00CC236A" w:rsidRPr="00CC236A" w:rsidRDefault="00CC236A" w:rsidP="00CC236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CC236A">
        <w:rPr>
          <w:rFonts w:ascii="Times New Roman" w:hAnsi="Times New Roman" w:cs="Times New Roman"/>
          <w:sz w:val="28"/>
          <w:szCs w:val="28"/>
        </w:rPr>
        <w:t>трансграничных переводов</w:t>
      </w:r>
    </w:p>
    <w:p w:rsidR="00CC236A" w:rsidRPr="00CC236A" w:rsidRDefault="00CC236A" w:rsidP="00CC236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CC236A">
        <w:rPr>
          <w:rFonts w:ascii="Times New Roman" w:hAnsi="Times New Roman" w:cs="Times New Roman"/>
          <w:sz w:val="28"/>
          <w:szCs w:val="28"/>
        </w:rPr>
        <w:t>денежных средств</w:t>
      </w:r>
    </w:p>
    <w:p w:rsidR="007C1A79" w:rsidRDefault="00CC236A" w:rsidP="00CC2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24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236A">
        <w:rPr>
          <w:rFonts w:ascii="Times New Roman" w:hAnsi="Times New Roman" w:cs="Times New Roman"/>
          <w:sz w:val="28"/>
          <w:szCs w:val="28"/>
        </w:rPr>
        <w:t xml:space="preserve">(пункт 9.2 раздела </w:t>
      </w:r>
      <w:r w:rsidRPr="00CC236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C236A">
        <w:rPr>
          <w:rFonts w:ascii="Times New Roman" w:hAnsi="Times New Roman" w:cs="Times New Roman"/>
          <w:sz w:val="28"/>
          <w:szCs w:val="28"/>
        </w:rPr>
        <w:t>)</w:t>
      </w:r>
    </w:p>
    <w:p w:rsidR="00CC236A" w:rsidRDefault="00CC236A" w:rsidP="00CC2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24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C236A" w:rsidRPr="00CC236A" w:rsidRDefault="00CC236A" w:rsidP="00CC2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24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1A79" w:rsidRPr="00CC236A" w:rsidRDefault="007C1A79" w:rsidP="00CC2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236A">
        <w:rPr>
          <w:rFonts w:ascii="Times New Roman" w:hAnsi="Times New Roman" w:cs="Times New Roman"/>
          <w:b/>
          <w:sz w:val="28"/>
          <w:szCs w:val="28"/>
        </w:rPr>
        <w:t>Перечень признаков сомнительного трансграничного перевода и мер по осуществлению банковским учреждением анализа и проверки подтверждающих документов и информации о трансграничных переводах</w:t>
      </w:r>
    </w:p>
    <w:p w:rsidR="007C1A79" w:rsidRPr="00CC236A" w:rsidRDefault="007C1A79" w:rsidP="00CC2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431"/>
        <w:gridCol w:w="3750"/>
        <w:gridCol w:w="3173"/>
      </w:tblGrid>
      <w:tr w:rsidR="007C1A79" w:rsidRPr="00CC236A" w:rsidTr="00CC236A">
        <w:trPr>
          <w:tblHeader/>
        </w:trPr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Признак сомнительного трансграничного перевода</w:t>
            </w:r>
          </w:p>
        </w:tc>
        <w:tc>
          <w:tcPr>
            <w:tcW w:w="19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документы и информация, которые банковское учреждение имеет право требовать от плательщика</w:t>
            </w:r>
          </w:p>
        </w:tc>
        <w:tc>
          <w:tcPr>
            <w:tcW w:w="16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Результаты проведения анализа подтверждающих документов и информации о трансграничном переводе </w:t>
            </w:r>
          </w:p>
        </w:tc>
      </w:tr>
      <w:tr w:rsidR="007C1A79" w:rsidRPr="00CC236A" w:rsidTr="00CC236A">
        <w:trPr>
          <w:tblHeader/>
        </w:trPr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трансграничных переводов не совпадает с объемами обычной деловой активности плательщика</w:t>
            </w:r>
          </w:p>
          <w:p w:rsidR="00CC236A" w:rsidRPr="00CC236A" w:rsidRDefault="00CC236A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информация (документы) по определению финансового положения плательщика – юридического лица и физического лица –предпринимателя – финансовая и налоговая отчетность плательщика (баланс, отчет о финансовых результатах, налоговая декларация, приложения к налоговой декларации, другая финансовая отчетность), с отметкой Министерства доходов и сборов Донецкой Народной Республики о ее получении (принятии);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информация (документы), подтверждающие) финансовые возможности, источники происхождения денежных средств у плательщика, позволяющие осуществлять трансграничный перевод на соответствующую сумму;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информация (документы) по структуре собственности, бенефициарных владельцев плательщика и получателя денежных средств за пределами Донецкой Народной Республики. Информация (документы) должна (должны) подтверждать наличие экономической целесообразности такого трансграничного перевода. При необходимости банковское учреждение имеет право истребовать дополнительные документы (информацию).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установление сути и цели трансграничного перевода;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установление соответствия или несоответствия сути трансграничного перевода содержанию деятельности плательщика;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установление наличия или отсутствия экономической целесообразности трансграничного перевода;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установление достаточности или недостаточности финансовых возможностей плательщика проводить (инициировать)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трансграничный перевод на соответствующую сумму;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анализ информации о плательщике, его деятельности и деловой репутации;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установление источников происхождения денежных средств плательщика;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установление бенефициарных владельцев плательщика и получателя денежных средств за пределами Донецкой Народной Республики, включая отсутствие оснований считать, что они используют агентов, номинальных собственников или посредников в целях сокрытия бенефициарных владельцев).</w:t>
            </w: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трансграничного перевода, который должен осуществляться в пределах, установленных настоящими Правилами лимитов</w:t>
            </w:r>
          </w:p>
        </w:tc>
        <w:tc>
          <w:tcPr>
            <w:tcW w:w="1917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товаров (работ, услуг) не характерны для обычной деятельности плательщика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документы и официальная информация, которые могут подтвердить соответствие сути и размера трансграничного перевода плательщика его финансовому положению и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содержанию деятельности, а также содержанию деятельности получателя денежных средств за пределами Донецкой Народной Республики;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информация (документы), подтверждающие права получателя денежных средств за пределами Донецкой Народной Республики осуществлять работы (услуги), если для их осуществления в соответствии с законодательством страны местонахождения получателя денежных средств требуется наличие лицензии или иного разрешения.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информация (документы) о структуре собственности, бенефициарных владельц</w:t>
            </w:r>
            <w:r w:rsidR="00FB704D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содержани</w:t>
            </w:r>
            <w:r w:rsidR="001F09CD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плательщика и получателя денежных средств за пределами Донецкой Народной Республики.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(документы) должны подтверждать наличие экономической целесообразности (смысла) такого трансграничного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перевода. При необходимости банковское учреждение имеет право требовать дополнительные документы (информацию).</w:t>
            </w:r>
          </w:p>
        </w:tc>
        <w:tc>
          <w:tcPr>
            <w:tcW w:w="1623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установление сути и цели трансграничного перевода;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установление соответствия или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несоответствия сути трансграничного перевода содержанию деятельности плательщика и (или) получателя денежных средств за пределами Донецкой Народной Республики;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установление наличия или отсутствия экономической целесообразности (смысла) трансграничного перевода;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установление достаточности или недостаточности финансовых возможностей плательщика проводить (инициировать) трансграничный перевод на соответствующую сумму;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анализ информации об плательщике и получателе денежных средств за пределами Донецкой Народной Республики, их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и деловой репутации;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установление источников происхождения денежных средств плательщика;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установление бенефициарных владельцев плательщика и получателя денежных средств за пределами Донецкой Народной Республики, включая отсутствие оснований считать, что они используют агентов, номинальных собственников или посредников в целях сокрытия бенефициарных владельцев.</w:t>
            </w: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сути трансграничного перевода содержанию деятельности плательщика или получателя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Трансграничный перевод, экономическая целесообразность которого отсутствует и (или) не содержит очевидной законной цели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Несоответствие между стоимостью товаров (работ, услуг), заявленной в договоре, счете-фактуре, актах выполненных работ (оказанных услуг) их справедливой рыночной цене, сложившейся на рынке идентичных, а при их отсутствии – однородных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товаров (работ, услуг)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Трансграничные переводы с целью осуществления расчетов (предварительной оплаты), связанных с имеющимися рисками невыполнения контрагентом – нерезидентом обязательств по внешнеэкономическому договору (включая наличие нарушений контрагентом-нерезидентом установленных предельн</w:t>
            </w:r>
            <w:r w:rsidR="009367D8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7D8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допустимых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сроков расчетов, создания запутанных и (или) искусственных условий осуществления платежей, наличие законодательных ограничений по ввозу товаров на территори</w:t>
            </w:r>
            <w:r w:rsidR="009367D8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Донецкой </w:t>
            </w:r>
            <w:r w:rsidR="009367D8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Народной Республики)</w:t>
            </w:r>
          </w:p>
        </w:tc>
        <w:tc>
          <w:tcPr>
            <w:tcW w:w="1917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79" w:rsidRPr="00CC236A" w:rsidRDefault="007C1A79" w:rsidP="00CC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штрафных санкций (включая уплату по решению суда или миров</w:t>
            </w:r>
            <w:r w:rsidR="006C4624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9367D8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оглашени</w:t>
            </w:r>
            <w:r w:rsidR="006C4624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9367D8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возмещение убытков)</w:t>
            </w:r>
          </w:p>
        </w:tc>
        <w:tc>
          <w:tcPr>
            <w:tcW w:w="1917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договоры, являющиеся основанием для осуществления трансграничных переводов [например, договор о замене сторон в обязательстве (при смене должника и (или) кредитора)], и документы, подтверждающие осуществление расчетов по указанным договорам;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информация (документы) о структуре собственности, бенефициарных владельц</w:t>
            </w:r>
            <w:r w:rsidR="006312E4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содержани</w:t>
            </w:r>
            <w:r w:rsidR="001F09CD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всех сторон указанных договоров;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документы, подтверждающие состояние расчетов (выполнение или невыполнение плательщиком обязательств по договору);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информация (документы), подтверждающие источники происхождения денежных средств, которые используются для осуществления трансграничных переводов;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информация (документы), которые могут подтвердить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сути и размера трансграничных переводов плательщика его финансовому положению и содержанию деятельности, а также содержанию деятельности получателя денежных средств за пределами Донецкой Народной Республики.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(документы) должны подтверждать наличие экономической целесообразности (смысла) такого трансграничного перевода. При необходимости банковское учреждение имеет право истребовать дополнительные документы (информацию).</w:t>
            </w:r>
          </w:p>
        </w:tc>
        <w:tc>
          <w:tcPr>
            <w:tcW w:w="1623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установление сути и цели трансграничного перевода;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установление соответствия или несоответствия сути трансграничного перевода содержанию деятельности плательщика;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установление наличия или отсутствия экономической целесообразности (смысла) трансграничного перевода;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установление достаточности или недостаточности финансовых возможностей плательщика проводить (инициировать) трансграничный перевод на соответствующую сумму;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анализ информации о плательщике и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получателе, их деятельности;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установление источников происхождения денежных средств плательщика;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установление бенефициарных владельцев плательщика и получателя денежных средств за пределами Донецкой Народной Республики, включая отсутствие оснований считать, что они используют агентов, номинальных собственников или посредников в целях сокрытия бенефициарных владельцев;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определение условий, оснований и экономической целесообразности, по которым осуществляется изменение сторон договора.</w:t>
            </w: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Трансграничные переводы по договору осуществляются: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пользу стороны, которая приобрела права в результате уступки права требования в обязательстве;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стороной, получившей обязательства в результате перевода долга;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зачета однородных встречных требований.</w:t>
            </w:r>
          </w:p>
        </w:tc>
        <w:tc>
          <w:tcPr>
            <w:tcW w:w="1917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pct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A79" w:rsidRPr="00CC236A" w:rsidTr="00CC236A">
        <w:tc>
          <w:tcPr>
            <w:tcW w:w="2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обязательств по внешнеэкономическим договорам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(контрактам) об осуществлении расчетов за фактически поставленный товар на территорию Донецкой Народной Республики по таможенным декларациям, оформление которых было проведено более </w:t>
            </w:r>
            <w:r w:rsidR="00257D44"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за два года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даты трансграничного перевода или намерению осуществить трансграничный перевод</w:t>
            </w:r>
          </w:p>
        </w:tc>
        <w:tc>
          <w:tcPr>
            <w:tcW w:w="19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информация (документы), подтверждающие источники происхождения денежных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средств, полученных по основному виду деятельности;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финансовая отчетность на последнюю отчетную дату, подтверждающая наличие кредиторской задолженности в финансовой отчетности плательщика по импорту товаров, таможенное оформление которых было проведено более чем за два года до даты трансграничного перевода или подтверждающая намерение осуществить трансграничный перевод, с отметкой соответствующего государственного органа Донецкой Народной Республики о ее получении или принятии;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информация (документы) о структуре собственности, бенефициарных владельцев плательщика и получателя денежных средств за пределами Донецкой Народной Республики.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(документы) должны подтверждать наличие экономической целесообразности (смысла) такого трансграничного </w:t>
            </w: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перевода. При необходимости банковское учреждение имеет право требовать дополнительные документы (информацию).</w:t>
            </w:r>
          </w:p>
        </w:tc>
        <w:tc>
          <w:tcPr>
            <w:tcW w:w="16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установление сути и цели трансграничного перевода;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установление соответствия или несоответствия сути трансграничного перевода содержанию деятельности плательщика;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установление наличия или отсутствия экономической целесообразности (смысла) трансграничного перевода;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установление достаточности или недостаточности финансовых возможностей плательщика проводить (инициировать) трансграничный перевод на соответствующую сумму;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анализ информации о плательщике, его деятельности и деловой репутации;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установление источников происхождения денежных средств плательщика;</w:t>
            </w: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A79" w:rsidRPr="00CC236A" w:rsidRDefault="007C1A79" w:rsidP="00CC2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установление бенефициарных владельцев плательщика и получателя денежных средств за пределами Донецкой Народной Республики, включая отсутствие оснований считать, что они используют агентов, номинальных собственников или посредников в целях сокрытия бенефициарных владельцев.</w:t>
            </w:r>
          </w:p>
        </w:tc>
      </w:tr>
    </w:tbl>
    <w:p w:rsidR="007C1A79" w:rsidRDefault="007C1A79" w:rsidP="00CC2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C236A" w:rsidRDefault="00CC236A" w:rsidP="00CC2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C236A" w:rsidRPr="00CC236A" w:rsidRDefault="00CC236A" w:rsidP="00CC2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C236A" w:rsidRDefault="007C1A79" w:rsidP="00CC2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C236A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F126C8" w:rsidRPr="00CC236A" w:rsidRDefault="007C1A79" w:rsidP="00CC236A">
      <w:pPr>
        <w:tabs>
          <w:tab w:val="left" w:pos="1134"/>
          <w:tab w:val="left" w:pos="7088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236A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CC236A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F126C8" w:rsidRPr="00CC236A" w:rsidSect="00CC236A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88" w:rsidRDefault="009E7A88" w:rsidP="001B10CF">
      <w:pPr>
        <w:spacing w:after="0" w:line="240" w:lineRule="auto"/>
      </w:pPr>
      <w:r>
        <w:separator/>
      </w:r>
    </w:p>
  </w:endnote>
  <w:endnote w:type="continuationSeparator" w:id="0">
    <w:p w:rsidR="009E7A88" w:rsidRDefault="009E7A88" w:rsidP="001B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88" w:rsidRDefault="009E7A88" w:rsidP="001B10CF">
      <w:pPr>
        <w:spacing w:after="0" w:line="240" w:lineRule="auto"/>
      </w:pPr>
      <w:r>
        <w:separator/>
      </w:r>
    </w:p>
  </w:footnote>
  <w:footnote w:type="continuationSeparator" w:id="0">
    <w:p w:rsidR="009E7A88" w:rsidRDefault="009E7A88" w:rsidP="001B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CF" w:rsidRPr="001B10CF" w:rsidRDefault="001B10CF" w:rsidP="001B10CF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B10CF">
      <w:rPr>
        <w:rFonts w:ascii="Times New Roman" w:hAnsi="Times New Roman" w:cs="Times New Roman"/>
        <w:sz w:val="24"/>
        <w:szCs w:val="24"/>
      </w:rPr>
      <w:fldChar w:fldCharType="begin"/>
    </w:r>
    <w:r w:rsidRPr="001B10CF">
      <w:rPr>
        <w:rFonts w:ascii="Times New Roman" w:hAnsi="Times New Roman" w:cs="Times New Roman"/>
        <w:sz w:val="24"/>
        <w:szCs w:val="24"/>
      </w:rPr>
      <w:instrText>PAGE   \* MERGEFORMAT</w:instrText>
    </w:r>
    <w:r w:rsidRPr="001B10CF">
      <w:rPr>
        <w:rFonts w:ascii="Times New Roman" w:hAnsi="Times New Roman" w:cs="Times New Roman"/>
        <w:sz w:val="24"/>
        <w:szCs w:val="24"/>
      </w:rPr>
      <w:fldChar w:fldCharType="separate"/>
    </w:r>
    <w:r w:rsidR="00CD4DA5">
      <w:rPr>
        <w:rFonts w:ascii="Times New Roman" w:hAnsi="Times New Roman" w:cs="Times New Roman"/>
        <w:noProof/>
        <w:sz w:val="24"/>
        <w:szCs w:val="24"/>
      </w:rPr>
      <w:t>8</w:t>
    </w:r>
    <w:r w:rsidRPr="001B10CF">
      <w:rPr>
        <w:rFonts w:ascii="Times New Roman" w:hAnsi="Times New Roman" w:cs="Times New Roman"/>
        <w:sz w:val="24"/>
        <w:szCs w:val="24"/>
      </w:rPr>
      <w:fldChar w:fldCharType="end"/>
    </w:r>
  </w:p>
  <w:p w:rsidR="001B10CF" w:rsidRPr="00CC236A" w:rsidRDefault="001B10CF" w:rsidP="001B10CF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CC236A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sdt>
      <w:sdtPr>
        <w:rPr>
          <w:rFonts w:ascii="Times New Roman" w:hAnsi="Times New Roman" w:cs="Times New Roman"/>
          <w:sz w:val="28"/>
          <w:szCs w:val="28"/>
        </w:rPr>
        <w:id w:val="1788538756"/>
        <w:docPartObj>
          <w:docPartGallery w:val="Page Numbers (Top of Page)"/>
          <w:docPartUnique/>
        </w:docPartObj>
      </w:sdtPr>
      <w:sdtEndPr/>
      <w:sdtContent>
        <w:r w:rsidRPr="00CC236A">
          <w:rPr>
            <w:rFonts w:ascii="Times New Roman" w:hAnsi="Times New Roman" w:cs="Times New Roman"/>
            <w:sz w:val="28"/>
            <w:szCs w:val="28"/>
          </w:rPr>
          <w:t>4</w:t>
        </w:r>
      </w:sdtContent>
    </w:sdt>
  </w:p>
  <w:p w:rsidR="00556A1D" w:rsidRDefault="009E7A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05DF"/>
    <w:multiLevelType w:val="hybridMultilevel"/>
    <w:tmpl w:val="E2E8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79"/>
    <w:rsid w:val="0005596F"/>
    <w:rsid w:val="000F7C05"/>
    <w:rsid w:val="001B10CF"/>
    <w:rsid w:val="001F09CD"/>
    <w:rsid w:val="00257D44"/>
    <w:rsid w:val="006312E4"/>
    <w:rsid w:val="006C4624"/>
    <w:rsid w:val="007C1A79"/>
    <w:rsid w:val="009367D8"/>
    <w:rsid w:val="00952260"/>
    <w:rsid w:val="009E7A88"/>
    <w:rsid w:val="00B02AE9"/>
    <w:rsid w:val="00BA683C"/>
    <w:rsid w:val="00BC560E"/>
    <w:rsid w:val="00CC236A"/>
    <w:rsid w:val="00CD4DA5"/>
    <w:rsid w:val="00D53CDB"/>
    <w:rsid w:val="00D83A20"/>
    <w:rsid w:val="00DF26A1"/>
    <w:rsid w:val="00F126C8"/>
    <w:rsid w:val="00FB704D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C55AC2-53E5-4CF6-8EFF-2466EB4A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A79"/>
  </w:style>
  <w:style w:type="paragraph" w:styleId="a5">
    <w:name w:val="List Paragraph"/>
    <w:basedOn w:val="a"/>
    <w:link w:val="a6"/>
    <w:uiPriority w:val="34"/>
    <w:qFormat/>
    <w:rsid w:val="007C1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C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uiPriority w:val="34"/>
    <w:rsid w:val="007C1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0CF"/>
  </w:style>
  <w:style w:type="paragraph" w:styleId="aa">
    <w:name w:val="Balloon Text"/>
    <w:basedOn w:val="a"/>
    <w:link w:val="ab"/>
    <w:uiPriority w:val="99"/>
    <w:semiHidden/>
    <w:unhideWhenUsed/>
    <w:rsid w:val="0025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7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9CB6-FF5E-461C-B9FE-46CB0E20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Столетова</dc:creator>
  <cp:keywords/>
  <dc:description/>
  <cp:lastModifiedBy>VAD</cp:lastModifiedBy>
  <cp:revision>2</cp:revision>
  <dcterms:created xsi:type="dcterms:W3CDTF">2020-04-24T19:54:00Z</dcterms:created>
  <dcterms:modified xsi:type="dcterms:W3CDTF">2020-04-24T19:54:00Z</dcterms:modified>
</cp:coreProperties>
</file>