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EC8B7" w14:textId="5A5425CB" w:rsidR="00DC516A" w:rsidRPr="006658F1" w:rsidRDefault="00DC516A" w:rsidP="00475D60">
      <w:pPr>
        <w:widowControl w:val="0"/>
        <w:tabs>
          <w:tab w:val="left" w:pos="4111"/>
        </w:tabs>
        <w:suppressAutoHyphens/>
        <w:autoSpaceDN w:val="0"/>
        <w:spacing w:after="200"/>
        <w:ind w:right="-1" w:firstLine="0"/>
        <w:jc w:val="center"/>
        <w:textAlignment w:val="baseline"/>
        <w:rPr>
          <w:rFonts w:eastAsia="Calibri" w:cs="Times New Roman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6658F1">
        <w:rPr>
          <w:rFonts w:eastAsia="Calibri" w:cs="Times New Roman"/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7992573C" wp14:editId="48B556B5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23E46" w14:textId="77777777" w:rsidR="00DC516A" w:rsidRPr="006658F1" w:rsidRDefault="00DC516A" w:rsidP="00DC516A">
      <w:pPr>
        <w:widowControl w:val="0"/>
        <w:suppressAutoHyphens/>
        <w:autoSpaceDN w:val="0"/>
        <w:spacing w:line="360" w:lineRule="auto"/>
        <w:ind w:right="-1" w:firstLine="0"/>
        <w:jc w:val="center"/>
        <w:textAlignment w:val="baseline"/>
        <w:rPr>
          <w:rFonts w:eastAsia="Calibri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6658F1">
        <w:rPr>
          <w:rFonts w:eastAsia="Calibri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5BBF566" w14:textId="77777777" w:rsidR="00DC516A" w:rsidRPr="006658F1" w:rsidRDefault="00DC516A" w:rsidP="00DC516A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pacing w:val="80"/>
          <w:kern w:val="2"/>
          <w:sz w:val="44"/>
          <w:szCs w:val="44"/>
          <w:lang w:eastAsia="zh-CN" w:bidi="hi-IN"/>
        </w:rPr>
      </w:pPr>
      <w:r w:rsidRPr="006658F1">
        <w:rPr>
          <w:rFonts w:eastAsia="Calibri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6C20819" w14:textId="148DEA93" w:rsidR="00DC516A" w:rsidRDefault="00DC516A" w:rsidP="00DC516A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pacing w:val="80"/>
          <w:kern w:val="2"/>
          <w:sz w:val="28"/>
          <w:szCs w:val="28"/>
          <w:lang w:eastAsia="zh-CN" w:bidi="hi-IN"/>
        </w:rPr>
      </w:pPr>
    </w:p>
    <w:p w14:paraId="236CBFCD" w14:textId="77777777" w:rsidR="00DC516A" w:rsidRPr="006658F1" w:rsidRDefault="00DC516A" w:rsidP="00DC516A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pacing w:val="80"/>
          <w:kern w:val="2"/>
          <w:sz w:val="28"/>
          <w:szCs w:val="28"/>
          <w:lang w:eastAsia="zh-CN" w:bidi="hi-IN"/>
        </w:rPr>
      </w:pPr>
    </w:p>
    <w:p w14:paraId="79A7EB60" w14:textId="77777777" w:rsidR="007E1809" w:rsidRPr="00D11020" w:rsidRDefault="007E1809" w:rsidP="00DC516A">
      <w:pPr>
        <w:pStyle w:val="20"/>
        <w:shd w:val="clear" w:color="auto" w:fill="auto"/>
        <w:spacing w:before="0" w:after="0" w:line="276" w:lineRule="auto"/>
        <w:ind w:firstLine="0"/>
        <w:rPr>
          <w:b/>
          <w:color w:val="auto"/>
        </w:rPr>
      </w:pPr>
      <w:r w:rsidRPr="00D11020">
        <w:rPr>
          <w:b/>
          <w:color w:val="auto"/>
        </w:rPr>
        <w:t>О</w:t>
      </w:r>
      <w:r w:rsidR="0022731B" w:rsidRPr="00D11020">
        <w:rPr>
          <w:b/>
          <w:color w:val="auto"/>
        </w:rPr>
        <w:t xml:space="preserve"> ВНЕСЕНИИ ИЗМЕНЕНИЙ</w:t>
      </w:r>
      <w:r w:rsidRPr="00D11020">
        <w:rPr>
          <w:b/>
          <w:color w:val="auto"/>
        </w:rPr>
        <w:t xml:space="preserve"> </w:t>
      </w:r>
      <w:r w:rsidR="00D77303" w:rsidRPr="00D11020">
        <w:rPr>
          <w:b/>
          <w:color w:val="auto"/>
        </w:rPr>
        <w:t>В СТАТЬЮ 1642 ГРАЖДАНСКОГО КОДЕКСА ДОНЕЦКОЙ НАРОДНОЙ РЕСПУБЛИКИ</w:t>
      </w:r>
    </w:p>
    <w:p w14:paraId="03101D1E" w14:textId="77777777" w:rsidR="00815D85" w:rsidRPr="00A31379" w:rsidRDefault="00815D85" w:rsidP="00815D85">
      <w:pPr>
        <w:ind w:firstLine="0"/>
        <w:jc w:val="center"/>
        <w:rPr>
          <w:rFonts w:cs="Times New Roman"/>
          <w:szCs w:val="28"/>
        </w:rPr>
      </w:pPr>
    </w:p>
    <w:p w14:paraId="1C39C2CB" w14:textId="77777777" w:rsidR="00815D85" w:rsidRPr="006658F1" w:rsidRDefault="00815D85" w:rsidP="00815D85">
      <w:pPr>
        <w:ind w:firstLine="0"/>
        <w:jc w:val="center"/>
        <w:rPr>
          <w:rFonts w:cs="Times New Roman"/>
          <w:szCs w:val="28"/>
        </w:rPr>
      </w:pPr>
    </w:p>
    <w:p w14:paraId="6EF2B6BE" w14:textId="77777777" w:rsidR="00815D85" w:rsidRPr="006658F1" w:rsidRDefault="00815D85" w:rsidP="00815D85">
      <w:pPr>
        <w:ind w:firstLine="0"/>
        <w:jc w:val="center"/>
        <w:rPr>
          <w:rFonts w:cs="Times New Roman"/>
          <w:b/>
          <w:szCs w:val="28"/>
        </w:rPr>
      </w:pPr>
      <w:r w:rsidRPr="006658F1">
        <w:rPr>
          <w:rFonts w:cs="Times New Roman"/>
          <w:b/>
          <w:szCs w:val="28"/>
        </w:rPr>
        <w:t>Принят Постановлением Народного Совета 24 сентября 2020 года</w:t>
      </w:r>
    </w:p>
    <w:p w14:paraId="567011FF" w14:textId="1A54433E" w:rsidR="00713440" w:rsidRDefault="00713440" w:rsidP="00815D85">
      <w:pPr>
        <w:spacing w:line="276" w:lineRule="auto"/>
        <w:ind w:firstLine="0"/>
        <w:jc w:val="center"/>
        <w:rPr>
          <w:b/>
          <w:bCs/>
          <w:color w:val="auto"/>
        </w:rPr>
      </w:pPr>
    </w:p>
    <w:p w14:paraId="2DA46B08" w14:textId="77777777" w:rsidR="00815D85" w:rsidRPr="00D11020" w:rsidRDefault="00815D85" w:rsidP="00815D85">
      <w:pPr>
        <w:spacing w:line="276" w:lineRule="auto"/>
        <w:ind w:firstLine="0"/>
        <w:jc w:val="center"/>
        <w:rPr>
          <w:b/>
          <w:bCs/>
          <w:color w:val="auto"/>
        </w:rPr>
      </w:pPr>
    </w:p>
    <w:p w14:paraId="246F3C5B" w14:textId="79B13B8C" w:rsidR="00994E49" w:rsidRPr="00D11020" w:rsidRDefault="005445FF" w:rsidP="00AF230B">
      <w:pPr>
        <w:widowControl w:val="0"/>
        <w:spacing w:after="360" w:line="276" w:lineRule="auto"/>
        <w:rPr>
          <w:rFonts w:eastAsia="Courier New" w:cs="Times New Roman"/>
          <w:b/>
          <w:color w:val="auto"/>
          <w:szCs w:val="28"/>
          <w:lang w:eastAsia="ru-RU" w:bidi="ru-RU"/>
        </w:rPr>
      </w:pPr>
      <w:r w:rsidRPr="00D11020">
        <w:rPr>
          <w:rFonts w:eastAsia="Courier New" w:cs="Times New Roman"/>
          <w:b/>
          <w:color w:val="auto"/>
          <w:szCs w:val="28"/>
          <w:lang w:eastAsia="ru-RU" w:bidi="ru-RU"/>
        </w:rPr>
        <w:t>Статья</w:t>
      </w:r>
      <w:r w:rsidR="00CA4F83" w:rsidRPr="00D11020">
        <w:rPr>
          <w:rFonts w:eastAsia="Courier New" w:cs="Times New Roman"/>
          <w:b/>
          <w:color w:val="auto"/>
          <w:szCs w:val="28"/>
          <w:lang w:eastAsia="ru-RU" w:bidi="ru-RU"/>
        </w:rPr>
        <w:t> </w:t>
      </w:r>
      <w:r w:rsidRPr="00D11020">
        <w:rPr>
          <w:rFonts w:eastAsia="Courier New" w:cs="Times New Roman"/>
          <w:b/>
          <w:color w:val="auto"/>
          <w:szCs w:val="28"/>
          <w:lang w:eastAsia="ru-RU" w:bidi="ru-RU"/>
        </w:rPr>
        <w:t xml:space="preserve">1 </w:t>
      </w:r>
    </w:p>
    <w:p w14:paraId="5A6B24EE" w14:textId="46D1AB2B" w:rsidR="00431512" w:rsidRPr="00D11020" w:rsidRDefault="00D77303" w:rsidP="00AF230B">
      <w:pPr>
        <w:widowControl w:val="0"/>
        <w:spacing w:after="360"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r w:rsidRPr="00D11020">
        <w:rPr>
          <w:rFonts w:eastAsia="Courier New" w:cs="Times New Roman"/>
          <w:color w:val="auto"/>
          <w:szCs w:val="28"/>
          <w:lang w:eastAsia="ru-RU" w:bidi="ru-RU"/>
        </w:rPr>
        <w:t xml:space="preserve">Внести в статью 1642 </w:t>
      </w:r>
      <w:hyperlink r:id="rId8" w:history="1">
        <w:r w:rsidRPr="004868E4">
          <w:rPr>
            <w:rStyle w:val="a8"/>
            <w:rFonts w:eastAsia="Courier New" w:cs="Times New Roman"/>
            <w:szCs w:val="28"/>
            <w:lang w:eastAsia="ru-RU" w:bidi="ru-RU"/>
          </w:rPr>
          <w:t>Гражданского кодекса Донецкой Народной Республики от 13 декабря 2019 года № 81-IIНС</w:t>
        </w:r>
      </w:hyperlink>
      <w:bookmarkStart w:id="0" w:name="_GoBack"/>
      <w:bookmarkEnd w:id="0"/>
      <w:r w:rsidRPr="00D11020">
        <w:rPr>
          <w:rFonts w:eastAsia="Courier New" w:cs="Times New Roman"/>
          <w:color w:val="auto"/>
          <w:szCs w:val="28"/>
          <w:lang w:eastAsia="ru-RU" w:bidi="ru-RU"/>
        </w:rPr>
        <w:t xml:space="preserve"> (опубликован на официальном сайте Народного Совета Донецкой Народной Республики 17 декабря 2019 года)</w:t>
      </w:r>
      <w:r w:rsidR="00CA1626" w:rsidRPr="00D11020">
        <w:rPr>
          <w:rFonts w:eastAsia="Courier New" w:cs="Times New Roman"/>
          <w:color w:val="auto"/>
          <w:szCs w:val="28"/>
          <w:lang w:eastAsia="ru-RU" w:bidi="ru-RU"/>
        </w:rPr>
        <w:t xml:space="preserve"> </w:t>
      </w:r>
      <w:r w:rsidR="0022731B" w:rsidRPr="00D11020">
        <w:rPr>
          <w:rFonts w:eastAsia="Courier New" w:cs="Times New Roman"/>
          <w:color w:val="auto"/>
          <w:szCs w:val="28"/>
          <w:lang w:eastAsia="ru-RU" w:bidi="ru-RU"/>
        </w:rPr>
        <w:t xml:space="preserve"> следующие изменения</w:t>
      </w:r>
      <w:r w:rsidR="00431512" w:rsidRPr="00D11020">
        <w:rPr>
          <w:rFonts w:eastAsia="Courier New" w:cs="Times New Roman"/>
          <w:color w:val="auto"/>
          <w:szCs w:val="28"/>
          <w:lang w:eastAsia="ru-RU" w:bidi="ru-RU"/>
        </w:rPr>
        <w:t>:</w:t>
      </w:r>
    </w:p>
    <w:p w14:paraId="5B74AF4D" w14:textId="77777777" w:rsidR="005623A8" w:rsidRPr="00D11020" w:rsidRDefault="0022731B" w:rsidP="00AF230B">
      <w:pPr>
        <w:widowControl w:val="0"/>
        <w:spacing w:after="360"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r w:rsidRPr="00D11020">
        <w:rPr>
          <w:rFonts w:eastAsia="Courier New" w:cs="Times New Roman"/>
          <w:color w:val="auto"/>
          <w:szCs w:val="28"/>
          <w:lang w:eastAsia="ru-RU" w:bidi="ru-RU"/>
        </w:rPr>
        <w:t>1) </w:t>
      </w:r>
      <w:r w:rsidR="00F7181A" w:rsidRPr="00D11020">
        <w:rPr>
          <w:rFonts w:eastAsia="Courier New" w:cs="Times New Roman"/>
          <w:color w:val="auto"/>
          <w:szCs w:val="28"/>
          <w:lang w:eastAsia="ru-RU" w:bidi="ru-RU"/>
        </w:rPr>
        <w:t>в абзаце втором части 5 после слов «за исключением» дополнить словами «государственных корпораций,»;</w:t>
      </w:r>
    </w:p>
    <w:p w14:paraId="26760BF1" w14:textId="77777777" w:rsidR="00F7181A" w:rsidRPr="00D11020" w:rsidRDefault="00F7181A" w:rsidP="00AF230B">
      <w:pPr>
        <w:tabs>
          <w:tab w:val="left" w:pos="0"/>
          <w:tab w:val="left" w:pos="709"/>
          <w:tab w:val="left" w:pos="1134"/>
        </w:tabs>
        <w:spacing w:after="360" w:line="276" w:lineRule="auto"/>
        <w:rPr>
          <w:color w:val="auto"/>
          <w:szCs w:val="28"/>
        </w:rPr>
      </w:pPr>
      <w:r w:rsidRPr="00D11020">
        <w:rPr>
          <w:rFonts w:eastAsia="Courier New" w:cs="Times New Roman"/>
          <w:color w:val="auto"/>
          <w:szCs w:val="28"/>
          <w:lang w:eastAsia="ru-RU" w:bidi="ru-RU"/>
        </w:rPr>
        <w:t>2) </w:t>
      </w:r>
      <w:r w:rsidRPr="00D11020">
        <w:rPr>
          <w:color w:val="auto"/>
          <w:szCs w:val="28"/>
        </w:rPr>
        <w:t>дополнить частью 10</w:t>
      </w:r>
      <w:r w:rsidRPr="00D11020">
        <w:rPr>
          <w:color w:val="auto"/>
          <w:szCs w:val="28"/>
          <w:vertAlign w:val="superscript"/>
        </w:rPr>
        <w:t>1</w:t>
      </w:r>
      <w:r w:rsidRPr="00D11020">
        <w:rPr>
          <w:color w:val="auto"/>
          <w:szCs w:val="28"/>
        </w:rPr>
        <w:t xml:space="preserve"> следующего содержания:</w:t>
      </w:r>
    </w:p>
    <w:p w14:paraId="19B4F6C4" w14:textId="77777777" w:rsidR="00F7181A" w:rsidRPr="00D11020" w:rsidRDefault="00F7181A" w:rsidP="00AF230B">
      <w:pPr>
        <w:tabs>
          <w:tab w:val="left" w:pos="0"/>
          <w:tab w:val="left" w:pos="709"/>
          <w:tab w:val="left" w:pos="1134"/>
        </w:tabs>
        <w:spacing w:after="360" w:line="276" w:lineRule="auto"/>
        <w:rPr>
          <w:color w:val="auto"/>
          <w:szCs w:val="28"/>
        </w:rPr>
      </w:pPr>
      <w:r w:rsidRPr="00D11020">
        <w:rPr>
          <w:color w:val="auto"/>
          <w:szCs w:val="28"/>
        </w:rPr>
        <w:t>«10</w:t>
      </w:r>
      <w:r w:rsidRPr="00D11020">
        <w:rPr>
          <w:color w:val="auto"/>
          <w:szCs w:val="28"/>
          <w:vertAlign w:val="superscript"/>
        </w:rPr>
        <w:t>1</w:t>
      </w:r>
      <w:r w:rsidR="00657E5F" w:rsidRPr="00D11020">
        <w:rPr>
          <w:color w:val="auto"/>
          <w:szCs w:val="28"/>
        </w:rPr>
        <w:t>. До вступления в силу законов о соответствующ</w:t>
      </w:r>
      <w:r w:rsidR="0055198A" w:rsidRPr="00D11020">
        <w:rPr>
          <w:color w:val="auto"/>
          <w:szCs w:val="28"/>
        </w:rPr>
        <w:t>ей</w:t>
      </w:r>
      <w:r w:rsidR="00657E5F" w:rsidRPr="00D11020">
        <w:rPr>
          <w:color w:val="auto"/>
          <w:szCs w:val="28"/>
        </w:rPr>
        <w:t xml:space="preserve"> государственной корпорации или государственном концерне</w:t>
      </w:r>
      <w:r w:rsidR="00A33781" w:rsidRPr="00D11020">
        <w:rPr>
          <w:color w:val="auto"/>
          <w:szCs w:val="28"/>
        </w:rPr>
        <w:t xml:space="preserve">, </w:t>
      </w:r>
      <w:r w:rsidR="00657E5F" w:rsidRPr="00D11020">
        <w:rPr>
          <w:color w:val="auto"/>
          <w:szCs w:val="28"/>
        </w:rPr>
        <w:t xml:space="preserve">их </w:t>
      </w:r>
      <w:r w:rsidRPr="00D11020">
        <w:rPr>
          <w:color w:val="auto"/>
          <w:szCs w:val="28"/>
        </w:rPr>
        <w:t>правовое положение, порядок создан</w:t>
      </w:r>
      <w:r w:rsidR="00A33781" w:rsidRPr="00D11020">
        <w:rPr>
          <w:color w:val="auto"/>
          <w:szCs w:val="28"/>
        </w:rPr>
        <w:t xml:space="preserve">ия, реорганизации и ликвидации </w:t>
      </w:r>
      <w:r w:rsidR="00A37D9A" w:rsidRPr="00D11020">
        <w:rPr>
          <w:color w:val="auto"/>
          <w:szCs w:val="28"/>
        </w:rPr>
        <w:t xml:space="preserve">определяются </w:t>
      </w:r>
      <w:r w:rsidRPr="00D11020">
        <w:rPr>
          <w:color w:val="auto"/>
          <w:szCs w:val="28"/>
        </w:rPr>
        <w:t>в соответствии с указами Главы Донецкой Народной Республики.»;</w:t>
      </w:r>
    </w:p>
    <w:p w14:paraId="4E6B8B5A" w14:textId="77777777" w:rsidR="0022731B" w:rsidRPr="00D11020" w:rsidRDefault="00F7181A" w:rsidP="00AF230B">
      <w:pPr>
        <w:widowControl w:val="0"/>
        <w:spacing w:after="360"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r w:rsidRPr="00D11020">
        <w:rPr>
          <w:rFonts w:eastAsia="Courier New" w:cs="Times New Roman"/>
          <w:color w:val="auto"/>
          <w:szCs w:val="28"/>
          <w:lang w:eastAsia="ru-RU" w:bidi="ru-RU"/>
        </w:rPr>
        <w:t>3) </w:t>
      </w:r>
      <w:r w:rsidR="0022731B" w:rsidRPr="00D11020">
        <w:rPr>
          <w:rFonts w:eastAsia="Courier New" w:cs="Times New Roman"/>
          <w:color w:val="auto"/>
          <w:szCs w:val="28"/>
          <w:lang w:eastAsia="ru-RU" w:bidi="ru-RU"/>
        </w:rPr>
        <w:t>дополнить частью 14</w:t>
      </w:r>
      <w:r w:rsidR="0022731B" w:rsidRPr="00D11020">
        <w:rPr>
          <w:rFonts w:eastAsia="Courier New" w:cs="Times New Roman"/>
          <w:color w:val="auto"/>
          <w:szCs w:val="28"/>
          <w:vertAlign w:val="superscript"/>
          <w:lang w:eastAsia="ru-RU" w:bidi="ru-RU"/>
        </w:rPr>
        <w:t>1</w:t>
      </w:r>
      <w:r w:rsidR="0022731B" w:rsidRPr="00D11020">
        <w:rPr>
          <w:rFonts w:eastAsia="Courier New" w:cs="Times New Roman"/>
          <w:color w:val="auto"/>
          <w:szCs w:val="28"/>
          <w:lang w:eastAsia="ru-RU" w:bidi="ru-RU"/>
        </w:rPr>
        <w:t xml:space="preserve"> следующего содержания:</w:t>
      </w:r>
    </w:p>
    <w:p w14:paraId="0ECDE6D9" w14:textId="77777777" w:rsidR="00260F6B" w:rsidRPr="00D11020" w:rsidRDefault="00431512" w:rsidP="00AF230B">
      <w:pPr>
        <w:widowControl w:val="0"/>
        <w:spacing w:after="360"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r w:rsidRPr="00D11020">
        <w:rPr>
          <w:rFonts w:eastAsia="Courier New" w:cs="Times New Roman"/>
          <w:color w:val="auto"/>
          <w:szCs w:val="28"/>
          <w:lang w:eastAsia="ru-RU" w:bidi="ru-RU"/>
        </w:rPr>
        <w:t>«14</w:t>
      </w:r>
      <w:r w:rsidRPr="00D11020">
        <w:rPr>
          <w:rFonts w:eastAsia="Courier New" w:cs="Times New Roman"/>
          <w:color w:val="auto"/>
          <w:szCs w:val="28"/>
          <w:vertAlign w:val="superscript"/>
          <w:lang w:eastAsia="ru-RU" w:bidi="ru-RU"/>
        </w:rPr>
        <w:t>1</w:t>
      </w:r>
      <w:r w:rsidRPr="00D11020">
        <w:rPr>
          <w:rFonts w:eastAsia="Courier New" w:cs="Times New Roman"/>
          <w:color w:val="auto"/>
          <w:szCs w:val="28"/>
          <w:lang w:eastAsia="ru-RU" w:bidi="ru-RU"/>
        </w:rPr>
        <w:t>. </w:t>
      </w:r>
      <w:r w:rsidR="00657E5F" w:rsidRPr="00D11020">
        <w:rPr>
          <w:rFonts w:eastAsia="Courier New" w:cs="Times New Roman"/>
          <w:color w:val="auto"/>
          <w:szCs w:val="28"/>
          <w:lang w:eastAsia="ru-RU" w:bidi="ru-RU"/>
        </w:rPr>
        <w:t>Приостановить действие части</w:t>
      </w:r>
      <w:r w:rsidR="00260F6B" w:rsidRPr="00D11020">
        <w:rPr>
          <w:rFonts w:eastAsia="Courier New" w:cs="Times New Roman"/>
          <w:color w:val="auto"/>
          <w:szCs w:val="28"/>
          <w:lang w:eastAsia="ru-RU" w:bidi="ru-RU"/>
        </w:rPr>
        <w:t xml:space="preserve"> 3 статьи 284 </w:t>
      </w:r>
      <w:r w:rsidR="00657E5F" w:rsidRPr="00D11020">
        <w:rPr>
          <w:rFonts w:eastAsia="Courier New" w:cs="Times New Roman"/>
          <w:color w:val="auto"/>
          <w:szCs w:val="28"/>
          <w:lang w:eastAsia="ru-RU" w:bidi="ru-RU"/>
        </w:rPr>
        <w:t xml:space="preserve">и абзаца второго части 2 статьи 285 настоящего Кодекса до </w:t>
      </w:r>
      <w:r w:rsidR="00260F6B" w:rsidRPr="00D11020">
        <w:rPr>
          <w:rFonts w:eastAsia="Courier New" w:cs="Times New Roman"/>
          <w:color w:val="auto"/>
          <w:szCs w:val="28"/>
          <w:lang w:eastAsia="ru-RU" w:bidi="ru-RU"/>
        </w:rPr>
        <w:t>1 января 2022</w:t>
      </w:r>
      <w:r w:rsidR="00657E5F" w:rsidRPr="00D11020">
        <w:rPr>
          <w:rFonts w:eastAsia="Courier New" w:cs="Times New Roman"/>
          <w:color w:val="auto"/>
          <w:szCs w:val="28"/>
          <w:lang w:eastAsia="ru-RU" w:bidi="ru-RU"/>
        </w:rPr>
        <w:t xml:space="preserve"> года, за исключением случаев признания бесхозяйными вещами и обращения в муниципальную собственность жилых поме</w:t>
      </w:r>
      <w:r w:rsidR="009907B3" w:rsidRPr="00D11020">
        <w:rPr>
          <w:rFonts w:eastAsia="Courier New" w:cs="Times New Roman"/>
          <w:color w:val="auto"/>
          <w:szCs w:val="28"/>
          <w:lang w:eastAsia="ru-RU" w:bidi="ru-RU"/>
        </w:rPr>
        <w:t xml:space="preserve">щений, </w:t>
      </w:r>
      <w:r w:rsidR="00A33781" w:rsidRPr="00D11020">
        <w:rPr>
          <w:rFonts w:eastAsia="Courier New" w:cs="Times New Roman"/>
          <w:color w:val="auto"/>
          <w:szCs w:val="28"/>
          <w:lang w:eastAsia="ru-RU" w:bidi="ru-RU"/>
        </w:rPr>
        <w:t>жилых домов</w:t>
      </w:r>
      <w:r w:rsidR="005C691E" w:rsidRPr="00D11020">
        <w:rPr>
          <w:rFonts w:eastAsia="Courier New" w:cs="Times New Roman"/>
          <w:color w:val="auto"/>
          <w:szCs w:val="28"/>
          <w:lang w:eastAsia="ru-RU" w:bidi="ru-RU"/>
        </w:rPr>
        <w:t xml:space="preserve">, </w:t>
      </w:r>
      <w:r w:rsidR="00A33781" w:rsidRPr="00D11020">
        <w:rPr>
          <w:rFonts w:eastAsia="Courier New" w:cs="Times New Roman"/>
          <w:color w:val="auto"/>
          <w:szCs w:val="28"/>
          <w:lang w:eastAsia="ru-RU" w:bidi="ru-RU"/>
        </w:rPr>
        <w:t>хозяйственных построек</w:t>
      </w:r>
      <w:r w:rsidR="005C691E" w:rsidRPr="00D11020">
        <w:rPr>
          <w:rFonts w:eastAsia="Courier New" w:cs="Times New Roman"/>
          <w:color w:val="auto"/>
          <w:szCs w:val="28"/>
          <w:lang w:eastAsia="ru-RU" w:bidi="ru-RU"/>
        </w:rPr>
        <w:t xml:space="preserve"> и хозяйственных сооружений</w:t>
      </w:r>
      <w:r w:rsidR="009907B3" w:rsidRPr="00D11020">
        <w:rPr>
          <w:rFonts w:eastAsia="Courier New" w:cs="Times New Roman"/>
          <w:color w:val="auto"/>
          <w:szCs w:val="28"/>
          <w:lang w:eastAsia="ru-RU" w:bidi="ru-RU"/>
        </w:rPr>
        <w:t>.</w:t>
      </w:r>
      <w:r w:rsidR="00335513" w:rsidRPr="00D11020">
        <w:rPr>
          <w:rFonts w:eastAsia="Courier New" w:cs="Times New Roman"/>
          <w:color w:val="auto"/>
          <w:szCs w:val="28"/>
          <w:lang w:eastAsia="ru-RU" w:bidi="ru-RU"/>
        </w:rPr>
        <w:t>»;</w:t>
      </w:r>
    </w:p>
    <w:p w14:paraId="0C1DBC92" w14:textId="77777777" w:rsidR="009907B3" w:rsidRPr="00D11020" w:rsidRDefault="009907B3" w:rsidP="00AF230B">
      <w:pPr>
        <w:widowControl w:val="0"/>
        <w:spacing w:after="360"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r w:rsidRPr="00D11020">
        <w:rPr>
          <w:rFonts w:eastAsia="Courier New" w:cs="Times New Roman"/>
          <w:color w:val="auto"/>
          <w:szCs w:val="28"/>
          <w:lang w:eastAsia="ru-RU" w:bidi="ru-RU"/>
        </w:rPr>
        <w:lastRenderedPageBreak/>
        <w:t>4) дополнить частью 14</w:t>
      </w:r>
      <w:r w:rsidRPr="00D11020">
        <w:rPr>
          <w:rFonts w:eastAsia="Courier New" w:cs="Times New Roman"/>
          <w:color w:val="auto"/>
          <w:szCs w:val="28"/>
          <w:vertAlign w:val="superscript"/>
          <w:lang w:eastAsia="ru-RU" w:bidi="ru-RU"/>
        </w:rPr>
        <w:t>2</w:t>
      </w:r>
      <w:r w:rsidRPr="00D11020">
        <w:rPr>
          <w:rFonts w:eastAsia="Courier New" w:cs="Times New Roman"/>
          <w:color w:val="auto"/>
          <w:szCs w:val="28"/>
          <w:lang w:eastAsia="ru-RU" w:bidi="ru-RU"/>
        </w:rPr>
        <w:t xml:space="preserve"> следующего содержания:</w:t>
      </w:r>
    </w:p>
    <w:p w14:paraId="6BD7E72E" w14:textId="77777777" w:rsidR="009907B3" w:rsidRPr="00D11020" w:rsidRDefault="009907B3" w:rsidP="00AF230B">
      <w:pPr>
        <w:widowControl w:val="0"/>
        <w:spacing w:after="360"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r w:rsidRPr="00D11020">
        <w:rPr>
          <w:rFonts w:eastAsia="Courier New" w:cs="Times New Roman"/>
          <w:color w:val="auto"/>
          <w:szCs w:val="28"/>
          <w:lang w:eastAsia="ru-RU" w:bidi="ru-RU"/>
        </w:rPr>
        <w:t>«14</w:t>
      </w:r>
      <w:r w:rsidRPr="00D11020">
        <w:rPr>
          <w:rFonts w:eastAsia="Courier New" w:cs="Times New Roman"/>
          <w:color w:val="auto"/>
          <w:szCs w:val="28"/>
          <w:vertAlign w:val="superscript"/>
          <w:lang w:eastAsia="ru-RU" w:bidi="ru-RU"/>
        </w:rPr>
        <w:t>2</w:t>
      </w:r>
      <w:r w:rsidRPr="00D11020">
        <w:rPr>
          <w:rFonts w:eastAsia="Courier New" w:cs="Times New Roman"/>
          <w:color w:val="auto"/>
          <w:szCs w:val="28"/>
          <w:lang w:eastAsia="ru-RU" w:bidi="ru-RU"/>
        </w:rPr>
        <w:t>. </w:t>
      </w:r>
      <w:r w:rsidR="00260F6B" w:rsidRPr="00D11020">
        <w:rPr>
          <w:rFonts w:eastAsia="Courier New" w:cs="Times New Roman"/>
          <w:color w:val="auto"/>
          <w:szCs w:val="28"/>
          <w:lang w:eastAsia="ru-RU" w:bidi="ru-RU"/>
        </w:rPr>
        <w:t>До 1 января 2022 года</w:t>
      </w:r>
      <w:r w:rsidRPr="00D11020">
        <w:rPr>
          <w:rFonts w:eastAsia="Courier New" w:cs="Times New Roman"/>
          <w:color w:val="auto"/>
          <w:szCs w:val="28"/>
          <w:lang w:eastAsia="ru-RU" w:bidi="ru-RU"/>
        </w:rPr>
        <w:t>:</w:t>
      </w:r>
    </w:p>
    <w:p w14:paraId="54CCCE1D" w14:textId="77777777" w:rsidR="009907B3" w:rsidRPr="00D11020" w:rsidRDefault="009907B3" w:rsidP="00AF230B">
      <w:pPr>
        <w:widowControl w:val="0"/>
        <w:spacing w:after="360" w:line="276" w:lineRule="auto"/>
        <w:rPr>
          <w:rFonts w:cs="Times New Roman"/>
          <w:color w:val="auto"/>
          <w:szCs w:val="28"/>
        </w:rPr>
      </w:pPr>
      <w:r w:rsidRPr="00D11020">
        <w:rPr>
          <w:rFonts w:eastAsia="Courier New" w:cs="Times New Roman"/>
          <w:color w:val="auto"/>
          <w:szCs w:val="28"/>
          <w:lang w:eastAsia="ru-RU" w:bidi="ru-RU"/>
        </w:rPr>
        <w:t>1) </w:t>
      </w:r>
      <w:r w:rsidRPr="00D11020">
        <w:rPr>
          <w:rStyle w:val="npa-title"/>
          <w:bCs/>
          <w:color w:val="auto"/>
        </w:rPr>
        <w:t>выявление, учет, хранение, оценка и распоряжение</w:t>
      </w:r>
      <w:r w:rsidRPr="00D11020">
        <w:rPr>
          <w:rFonts w:cs="Times New Roman"/>
          <w:color w:val="auto"/>
          <w:szCs w:val="28"/>
        </w:rPr>
        <w:t xml:space="preserve"> бесхозяйными недвижимыми вещами, за исключением </w:t>
      </w:r>
      <w:r w:rsidR="00CD6D65" w:rsidRPr="00D11020">
        <w:rPr>
          <w:rFonts w:eastAsia="Courier New" w:cs="Times New Roman"/>
          <w:color w:val="auto"/>
          <w:szCs w:val="28"/>
          <w:lang w:eastAsia="ru-RU" w:bidi="ru-RU"/>
        </w:rPr>
        <w:t>жилых помещений</w:t>
      </w:r>
      <w:r w:rsidR="00622C2A" w:rsidRPr="00D11020">
        <w:rPr>
          <w:rFonts w:eastAsia="Courier New" w:cs="Times New Roman"/>
          <w:color w:val="auto"/>
          <w:szCs w:val="28"/>
          <w:lang w:eastAsia="ru-RU" w:bidi="ru-RU"/>
        </w:rPr>
        <w:t>, жилых домов</w:t>
      </w:r>
      <w:r w:rsidR="005C691E" w:rsidRPr="00D11020">
        <w:rPr>
          <w:rFonts w:eastAsia="Courier New" w:cs="Times New Roman"/>
          <w:color w:val="auto"/>
          <w:szCs w:val="28"/>
          <w:lang w:eastAsia="ru-RU" w:bidi="ru-RU"/>
        </w:rPr>
        <w:t>,</w:t>
      </w:r>
      <w:r w:rsidR="00A33781" w:rsidRPr="00D11020">
        <w:rPr>
          <w:rFonts w:eastAsia="Courier New" w:cs="Times New Roman"/>
          <w:color w:val="auto"/>
          <w:szCs w:val="28"/>
          <w:lang w:eastAsia="ru-RU" w:bidi="ru-RU"/>
        </w:rPr>
        <w:t xml:space="preserve"> </w:t>
      </w:r>
      <w:r w:rsidR="00CD6D65" w:rsidRPr="00D11020">
        <w:rPr>
          <w:rFonts w:eastAsia="Courier New" w:cs="Times New Roman"/>
          <w:color w:val="auto"/>
          <w:szCs w:val="28"/>
          <w:lang w:eastAsia="ru-RU" w:bidi="ru-RU"/>
        </w:rPr>
        <w:t>хозяйственных построек</w:t>
      </w:r>
      <w:r w:rsidR="005C691E" w:rsidRPr="00D11020">
        <w:rPr>
          <w:rFonts w:eastAsia="Courier New" w:cs="Times New Roman"/>
          <w:color w:val="auto"/>
          <w:szCs w:val="28"/>
          <w:lang w:eastAsia="ru-RU" w:bidi="ru-RU"/>
        </w:rPr>
        <w:t xml:space="preserve"> и хозяйственных сооружений</w:t>
      </w:r>
      <w:r w:rsidRPr="00D11020">
        <w:rPr>
          <w:color w:val="auto"/>
        </w:rPr>
        <w:t xml:space="preserve">, </w:t>
      </w:r>
      <w:r w:rsidRPr="00D11020">
        <w:rPr>
          <w:rFonts w:cs="Times New Roman"/>
          <w:color w:val="auto"/>
          <w:szCs w:val="28"/>
        </w:rPr>
        <w:t>осуществляются в порядке, установленном Главой Донецкой Народной Республики;</w:t>
      </w:r>
    </w:p>
    <w:p w14:paraId="500C18DC" w14:textId="15020725" w:rsidR="009907B3" w:rsidRPr="00D11020" w:rsidRDefault="009907B3" w:rsidP="00AF230B">
      <w:pPr>
        <w:widowControl w:val="0"/>
        <w:spacing w:after="360" w:line="276" w:lineRule="auto"/>
        <w:rPr>
          <w:rFonts w:cs="Times New Roman"/>
          <w:color w:val="auto"/>
          <w:szCs w:val="28"/>
        </w:rPr>
      </w:pPr>
      <w:r w:rsidRPr="00D11020">
        <w:rPr>
          <w:rFonts w:eastAsia="Courier New" w:cs="Times New Roman"/>
          <w:color w:val="auto"/>
          <w:szCs w:val="28"/>
          <w:lang w:eastAsia="ru-RU" w:bidi="ru-RU"/>
        </w:rPr>
        <w:t>2) </w:t>
      </w:r>
      <w:r w:rsidRPr="00D11020">
        <w:rPr>
          <w:rStyle w:val="npa-title"/>
          <w:bCs/>
          <w:color w:val="auto"/>
        </w:rPr>
        <w:t>выявление, учет, хранение, оценка и распоряжение</w:t>
      </w:r>
      <w:r w:rsidRPr="00D11020">
        <w:rPr>
          <w:rFonts w:cs="Times New Roman"/>
          <w:color w:val="auto"/>
          <w:szCs w:val="28"/>
        </w:rPr>
        <w:t xml:space="preserve"> бесхозяйными движимыми вещами, за исключением </w:t>
      </w:r>
      <w:r w:rsidR="0055198A" w:rsidRPr="00D11020">
        <w:rPr>
          <w:rFonts w:cs="Times New Roman"/>
          <w:color w:val="auto"/>
          <w:szCs w:val="28"/>
        </w:rPr>
        <w:t xml:space="preserve">движимых вещей, указанных в </w:t>
      </w:r>
      <w:r w:rsidR="00622C2A" w:rsidRPr="00D11020">
        <w:rPr>
          <w:rFonts w:cs="Times New Roman"/>
          <w:color w:val="auto"/>
          <w:szCs w:val="28"/>
        </w:rPr>
        <w:t>част</w:t>
      </w:r>
      <w:r w:rsidR="005C691E" w:rsidRPr="00D11020">
        <w:rPr>
          <w:rFonts w:cs="Times New Roman"/>
          <w:color w:val="auto"/>
          <w:szCs w:val="28"/>
        </w:rPr>
        <w:t>и</w:t>
      </w:r>
      <w:r w:rsidR="00622C2A" w:rsidRPr="00D11020">
        <w:rPr>
          <w:rFonts w:cs="Times New Roman"/>
          <w:color w:val="auto"/>
          <w:szCs w:val="28"/>
        </w:rPr>
        <w:t xml:space="preserve"> 1</w:t>
      </w:r>
      <w:r w:rsidR="005C691E" w:rsidRPr="00D11020">
        <w:rPr>
          <w:rFonts w:cs="Times New Roman"/>
          <w:color w:val="auto"/>
          <w:szCs w:val="28"/>
        </w:rPr>
        <w:t>,</w:t>
      </w:r>
      <w:r w:rsidR="00622C2A" w:rsidRPr="00D11020">
        <w:rPr>
          <w:rFonts w:cs="Times New Roman"/>
          <w:color w:val="auto"/>
          <w:szCs w:val="28"/>
        </w:rPr>
        <w:t xml:space="preserve"> </w:t>
      </w:r>
      <w:r w:rsidR="005C691E" w:rsidRPr="00D11020">
        <w:rPr>
          <w:rFonts w:cs="Times New Roman"/>
          <w:color w:val="auto"/>
          <w:szCs w:val="28"/>
        </w:rPr>
        <w:t xml:space="preserve">абзаце первом части </w:t>
      </w:r>
      <w:r w:rsidR="00622C2A" w:rsidRPr="00D11020">
        <w:rPr>
          <w:rFonts w:cs="Times New Roman"/>
          <w:color w:val="auto"/>
          <w:szCs w:val="28"/>
        </w:rPr>
        <w:t xml:space="preserve">2 статьи </w:t>
      </w:r>
      <w:r w:rsidR="0055198A" w:rsidRPr="00D11020">
        <w:rPr>
          <w:rFonts w:cs="Times New Roman"/>
          <w:color w:val="auto"/>
          <w:szCs w:val="28"/>
        </w:rPr>
        <w:t xml:space="preserve">285, </w:t>
      </w:r>
      <w:r w:rsidR="00622C2A" w:rsidRPr="00D11020">
        <w:rPr>
          <w:rFonts w:cs="Times New Roman"/>
          <w:color w:val="auto"/>
          <w:szCs w:val="28"/>
        </w:rPr>
        <w:t xml:space="preserve">статьях </w:t>
      </w:r>
      <w:r w:rsidR="0055198A" w:rsidRPr="00D11020">
        <w:rPr>
          <w:rFonts w:cs="Times New Roman"/>
          <w:color w:val="auto"/>
          <w:szCs w:val="28"/>
        </w:rPr>
        <w:t>286, 289</w:t>
      </w:r>
      <w:r w:rsidR="00D0177C" w:rsidRPr="00D11020">
        <w:rPr>
          <w:rFonts w:cs="Times New Roman"/>
          <w:color w:val="auto"/>
          <w:szCs w:val="28"/>
        </w:rPr>
        <w:t>,</w:t>
      </w:r>
      <w:r w:rsidR="0055198A" w:rsidRPr="00D11020">
        <w:rPr>
          <w:rFonts w:cs="Times New Roman"/>
          <w:color w:val="auto"/>
          <w:szCs w:val="28"/>
        </w:rPr>
        <w:t xml:space="preserve"> 292</w:t>
      </w:r>
      <w:r w:rsidR="00D0177C" w:rsidRPr="00D11020">
        <w:rPr>
          <w:rFonts w:cs="Times New Roman"/>
          <w:color w:val="auto"/>
          <w:szCs w:val="28"/>
        </w:rPr>
        <w:t xml:space="preserve"> и 293</w:t>
      </w:r>
      <w:r w:rsidR="0055198A" w:rsidRPr="00D11020">
        <w:rPr>
          <w:rFonts w:cs="Times New Roman"/>
          <w:color w:val="auto"/>
          <w:szCs w:val="28"/>
        </w:rPr>
        <w:t xml:space="preserve"> настоящего Кодекса, осуществляется в соответствии законом</w:t>
      </w:r>
      <w:r w:rsidR="00CD6D65" w:rsidRPr="00D11020">
        <w:rPr>
          <w:rFonts w:cs="Times New Roman"/>
          <w:color w:val="auto"/>
          <w:szCs w:val="28"/>
        </w:rPr>
        <w:t>, регулирующим отношения в сфере налогообложения</w:t>
      </w:r>
      <w:r w:rsidR="0055198A" w:rsidRPr="00D11020">
        <w:rPr>
          <w:rFonts w:cs="Times New Roman"/>
          <w:color w:val="auto"/>
          <w:szCs w:val="28"/>
        </w:rPr>
        <w:t>.»;</w:t>
      </w:r>
    </w:p>
    <w:p w14:paraId="7B228018" w14:textId="77777777" w:rsidR="0022731B" w:rsidRPr="00D11020" w:rsidRDefault="00A37D9A" w:rsidP="00AF230B">
      <w:pPr>
        <w:widowControl w:val="0"/>
        <w:spacing w:after="360" w:line="276" w:lineRule="auto"/>
        <w:rPr>
          <w:rFonts w:cs="Times New Roman"/>
          <w:color w:val="auto"/>
          <w:szCs w:val="28"/>
        </w:rPr>
      </w:pPr>
      <w:r w:rsidRPr="00D11020">
        <w:rPr>
          <w:rFonts w:cs="Times New Roman"/>
          <w:color w:val="auto"/>
          <w:szCs w:val="28"/>
        </w:rPr>
        <w:t>5</w:t>
      </w:r>
      <w:r w:rsidR="0022731B" w:rsidRPr="00D11020">
        <w:rPr>
          <w:rFonts w:cs="Times New Roman"/>
          <w:color w:val="auto"/>
          <w:szCs w:val="28"/>
        </w:rPr>
        <w:t>) часть 18 изложить в следующей редакции:</w:t>
      </w:r>
    </w:p>
    <w:p w14:paraId="75990031" w14:textId="77777777" w:rsidR="0022731B" w:rsidRPr="00D11020" w:rsidRDefault="0022731B" w:rsidP="00AF230B">
      <w:pPr>
        <w:spacing w:after="360" w:line="276" w:lineRule="auto"/>
        <w:rPr>
          <w:rFonts w:cs="Times New Roman"/>
          <w:color w:val="auto"/>
          <w:szCs w:val="28"/>
        </w:rPr>
      </w:pPr>
      <w:r w:rsidRPr="00D11020">
        <w:rPr>
          <w:rFonts w:cs="Times New Roman"/>
          <w:color w:val="auto"/>
          <w:szCs w:val="28"/>
        </w:rPr>
        <w:t>«18. До 1 января 2022 года договоры продажи недвижимости, договоры продажи предприятия, договоры дарения недвижимого имущества, договоры ренты и пожизненного содержания с иждивением, предусматривающие отчуждение недвижимого имущества,</w:t>
      </w:r>
      <w:r w:rsidR="001A1094" w:rsidRPr="00D11020">
        <w:rPr>
          <w:rFonts w:cs="Times New Roman"/>
          <w:color w:val="auto"/>
          <w:szCs w:val="28"/>
        </w:rPr>
        <w:t xml:space="preserve"> договоры аренды здания</w:t>
      </w:r>
      <w:r w:rsidRPr="00D11020">
        <w:rPr>
          <w:rFonts w:cs="Times New Roman"/>
          <w:color w:val="auto"/>
          <w:szCs w:val="28"/>
        </w:rPr>
        <w:t xml:space="preserve"> и</w:t>
      </w:r>
      <w:r w:rsidR="001A1094" w:rsidRPr="00D11020">
        <w:rPr>
          <w:rFonts w:cs="Times New Roman"/>
          <w:color w:val="auto"/>
          <w:szCs w:val="28"/>
        </w:rPr>
        <w:t>ли сооружения</w:t>
      </w:r>
      <w:r w:rsidRPr="00D11020">
        <w:rPr>
          <w:rFonts w:cs="Times New Roman"/>
          <w:color w:val="auto"/>
          <w:szCs w:val="28"/>
        </w:rPr>
        <w:t xml:space="preserve"> (на срок более трех лет)</w:t>
      </w:r>
      <w:r w:rsidR="001A1094" w:rsidRPr="00D11020">
        <w:rPr>
          <w:rFonts w:cs="Times New Roman"/>
          <w:color w:val="auto"/>
          <w:szCs w:val="28"/>
        </w:rPr>
        <w:t>, договоры аренды предприятия</w:t>
      </w:r>
      <w:r w:rsidRPr="00D11020">
        <w:rPr>
          <w:rFonts w:cs="Times New Roman"/>
          <w:color w:val="auto"/>
          <w:szCs w:val="28"/>
        </w:rPr>
        <w:t xml:space="preserve"> (на срок более трех лет), договоры доверительного управления недвижимым имуществом подлежат обязательному нотариальному удостоверению и считаются заключенными с момента такого удостоверения, если иное не установлено законом. </w:t>
      </w:r>
    </w:p>
    <w:p w14:paraId="09A9522A" w14:textId="77777777" w:rsidR="001A1094" w:rsidRPr="00D11020" w:rsidRDefault="006C0BEE" w:rsidP="00AF230B">
      <w:pPr>
        <w:spacing w:after="360" w:line="276" w:lineRule="auto"/>
        <w:rPr>
          <w:rFonts w:cs="Times New Roman"/>
          <w:color w:val="auto"/>
          <w:szCs w:val="28"/>
        </w:rPr>
      </w:pPr>
      <w:r w:rsidRPr="00D11020">
        <w:rPr>
          <w:rFonts w:cs="Times New Roman"/>
          <w:color w:val="auto"/>
          <w:szCs w:val="28"/>
        </w:rPr>
        <w:t>До 1 января 2022 года т</w:t>
      </w:r>
      <w:r w:rsidR="0022731B" w:rsidRPr="00D11020">
        <w:rPr>
          <w:rFonts w:cs="Times New Roman"/>
          <w:color w:val="auto"/>
          <w:szCs w:val="28"/>
        </w:rPr>
        <w:t xml:space="preserve">ребования о государственной регистрации сделки, предусмотренные </w:t>
      </w:r>
      <w:r w:rsidR="008B7DC8" w:rsidRPr="00D11020">
        <w:rPr>
          <w:rFonts w:cs="Times New Roman"/>
          <w:color w:val="auto"/>
          <w:szCs w:val="28"/>
        </w:rPr>
        <w:t xml:space="preserve">статьей 213, </w:t>
      </w:r>
      <w:r w:rsidR="0022731B" w:rsidRPr="00D11020">
        <w:rPr>
          <w:rFonts w:cs="Times New Roman"/>
          <w:color w:val="auto"/>
          <w:szCs w:val="28"/>
        </w:rPr>
        <w:t>частью 3 статьи 669, частью 4 статьи 683, статьей</w:t>
      </w:r>
      <w:r w:rsidRPr="00D11020">
        <w:rPr>
          <w:rFonts w:cs="Times New Roman"/>
          <w:color w:val="auto"/>
          <w:szCs w:val="28"/>
        </w:rPr>
        <w:t xml:space="preserve"> 693</w:t>
      </w:r>
      <w:r w:rsidR="0022731B" w:rsidRPr="00D11020">
        <w:rPr>
          <w:rFonts w:cs="Times New Roman"/>
          <w:color w:val="auto"/>
          <w:szCs w:val="28"/>
        </w:rPr>
        <w:t xml:space="preserve">, </w:t>
      </w:r>
      <w:r w:rsidRPr="00D11020">
        <w:rPr>
          <w:rFonts w:cs="Times New Roman"/>
          <w:color w:val="auto"/>
          <w:szCs w:val="28"/>
        </w:rPr>
        <w:t xml:space="preserve">частью 2 статьи 760, частью 3 статьи 767 </w:t>
      </w:r>
      <w:r w:rsidR="0022731B" w:rsidRPr="00D11020">
        <w:rPr>
          <w:rFonts w:cs="Times New Roman"/>
          <w:color w:val="auto"/>
          <w:szCs w:val="28"/>
        </w:rPr>
        <w:t>настоящего Кодекса, на указанные в настоящей части договоры не распространяются.</w:t>
      </w:r>
    </w:p>
    <w:p w14:paraId="3FC1BA33" w14:textId="77777777" w:rsidR="0022731B" w:rsidRPr="00D11020" w:rsidRDefault="00D61DAD" w:rsidP="00AF230B">
      <w:pPr>
        <w:spacing w:after="360" w:line="276" w:lineRule="auto"/>
        <w:rPr>
          <w:rFonts w:cs="Times New Roman"/>
          <w:color w:val="auto"/>
          <w:szCs w:val="28"/>
        </w:rPr>
      </w:pPr>
      <w:r w:rsidRPr="00D11020">
        <w:rPr>
          <w:rFonts w:cs="Times New Roman"/>
          <w:color w:val="auto"/>
          <w:szCs w:val="28"/>
        </w:rPr>
        <w:t>До 1 января 2022 года п</w:t>
      </w:r>
      <w:r w:rsidR="001A1094" w:rsidRPr="00D11020">
        <w:rPr>
          <w:rFonts w:cs="Times New Roman"/>
          <w:color w:val="auto"/>
          <w:szCs w:val="28"/>
        </w:rPr>
        <w:t>рава, которые возникают на основании указанных в настоящей части договоров,</w:t>
      </w:r>
      <w:r w:rsidR="0022731B" w:rsidRPr="00D11020">
        <w:rPr>
          <w:rFonts w:cs="Times New Roman"/>
          <w:color w:val="auto"/>
          <w:szCs w:val="28"/>
        </w:rPr>
        <w:t xml:space="preserve"> подлежат государственной регистрации в соответствии с законом о государственной регистрации вещных прав на недвижимое имущество и их ограничений (обременений)</w:t>
      </w:r>
      <w:r w:rsidR="006C0BEE" w:rsidRPr="00D11020">
        <w:rPr>
          <w:rFonts w:cs="Times New Roman"/>
          <w:color w:val="auto"/>
          <w:szCs w:val="28"/>
        </w:rPr>
        <w:t xml:space="preserve"> с учетом особенностей, предусмотренных в абзаце </w:t>
      </w:r>
      <w:r w:rsidR="001A1094" w:rsidRPr="00D11020">
        <w:rPr>
          <w:rFonts w:cs="Times New Roman"/>
          <w:color w:val="auto"/>
          <w:szCs w:val="28"/>
        </w:rPr>
        <w:t xml:space="preserve">четвертом </w:t>
      </w:r>
      <w:r w:rsidR="006C0BEE" w:rsidRPr="00D11020">
        <w:rPr>
          <w:rFonts w:cs="Times New Roman"/>
          <w:color w:val="auto"/>
          <w:szCs w:val="28"/>
        </w:rPr>
        <w:t>настоящей части.</w:t>
      </w:r>
    </w:p>
    <w:p w14:paraId="0C110EF4" w14:textId="77777777" w:rsidR="00475D60" w:rsidRDefault="00475D60" w:rsidP="00AF230B">
      <w:pPr>
        <w:spacing w:after="360" w:line="276" w:lineRule="auto"/>
        <w:rPr>
          <w:rFonts w:cs="Times New Roman"/>
          <w:color w:val="auto"/>
          <w:szCs w:val="28"/>
        </w:rPr>
      </w:pPr>
    </w:p>
    <w:p w14:paraId="0610FF10" w14:textId="693AB3D0" w:rsidR="004A5893" w:rsidRPr="00D11020" w:rsidRDefault="00D61DAD" w:rsidP="00AF230B">
      <w:pPr>
        <w:spacing w:after="360" w:line="276" w:lineRule="auto"/>
        <w:rPr>
          <w:rFonts w:cs="Times New Roman"/>
          <w:color w:val="auto"/>
          <w:szCs w:val="28"/>
        </w:rPr>
      </w:pPr>
      <w:r w:rsidRPr="00D11020">
        <w:rPr>
          <w:rFonts w:cs="Times New Roman"/>
          <w:color w:val="auto"/>
          <w:szCs w:val="28"/>
        </w:rPr>
        <w:lastRenderedPageBreak/>
        <w:t>До 1 января 2022 года п</w:t>
      </w:r>
      <w:r w:rsidR="001A1094" w:rsidRPr="00D11020">
        <w:rPr>
          <w:rFonts w:cs="Times New Roman"/>
          <w:color w:val="auto"/>
          <w:szCs w:val="28"/>
        </w:rPr>
        <w:t>рава, которые возникают на основании договоров аренды здания или сооружения (их отдельный части)</w:t>
      </w:r>
      <w:r w:rsidR="004A5893" w:rsidRPr="00D11020">
        <w:rPr>
          <w:rFonts w:cs="Times New Roman"/>
          <w:color w:val="auto"/>
          <w:szCs w:val="28"/>
        </w:rPr>
        <w:t xml:space="preserve"> либо договоров аренды предприятия, подлежат государственной регистрации в случае, если указанные договоры заключены на срок более трех лет.»;</w:t>
      </w:r>
    </w:p>
    <w:p w14:paraId="5515B5B2" w14:textId="77777777" w:rsidR="006C0BEE" w:rsidRPr="00D11020" w:rsidRDefault="00A37D9A" w:rsidP="00DC516A">
      <w:pPr>
        <w:spacing w:line="276" w:lineRule="auto"/>
        <w:rPr>
          <w:rFonts w:cs="Times New Roman"/>
          <w:color w:val="auto"/>
          <w:szCs w:val="28"/>
        </w:rPr>
      </w:pPr>
      <w:r w:rsidRPr="00D11020">
        <w:rPr>
          <w:rFonts w:cs="Times New Roman"/>
          <w:color w:val="auto"/>
          <w:szCs w:val="28"/>
        </w:rPr>
        <w:t>6</w:t>
      </w:r>
      <w:r w:rsidR="004A5893" w:rsidRPr="00D11020">
        <w:rPr>
          <w:rFonts w:cs="Times New Roman"/>
          <w:color w:val="auto"/>
          <w:szCs w:val="28"/>
        </w:rPr>
        <w:t>) часть 21</w:t>
      </w:r>
      <w:r w:rsidR="008B7DC8" w:rsidRPr="00D11020">
        <w:rPr>
          <w:rFonts w:cs="Times New Roman"/>
          <w:color w:val="auto"/>
          <w:szCs w:val="28"/>
        </w:rPr>
        <w:t xml:space="preserve"> признать утратившей силу</w:t>
      </w:r>
      <w:r w:rsidR="004A5893" w:rsidRPr="00D11020">
        <w:rPr>
          <w:rFonts w:cs="Times New Roman"/>
          <w:color w:val="auto"/>
          <w:szCs w:val="28"/>
        </w:rPr>
        <w:t xml:space="preserve">. </w:t>
      </w:r>
    </w:p>
    <w:p w14:paraId="3CE83FF0" w14:textId="057758B2" w:rsidR="00D10A5B" w:rsidRDefault="00D10A5B" w:rsidP="00AF230B">
      <w:pPr>
        <w:spacing w:line="276" w:lineRule="auto"/>
        <w:rPr>
          <w:rFonts w:cs="Times New Roman"/>
          <w:color w:val="auto"/>
          <w:szCs w:val="28"/>
        </w:rPr>
      </w:pPr>
    </w:p>
    <w:p w14:paraId="4E926507" w14:textId="613A9881" w:rsidR="00475D60" w:rsidRDefault="00475D60" w:rsidP="00AF230B">
      <w:pPr>
        <w:spacing w:line="276" w:lineRule="auto"/>
        <w:rPr>
          <w:rFonts w:cs="Times New Roman"/>
          <w:color w:val="auto"/>
          <w:szCs w:val="28"/>
        </w:rPr>
      </w:pPr>
    </w:p>
    <w:p w14:paraId="1FF97A56" w14:textId="77777777" w:rsidR="00475D60" w:rsidRPr="00D11020" w:rsidRDefault="00475D60" w:rsidP="00AF230B">
      <w:pPr>
        <w:spacing w:line="276" w:lineRule="auto"/>
        <w:rPr>
          <w:rFonts w:cs="Times New Roman"/>
          <w:color w:val="auto"/>
          <w:szCs w:val="28"/>
        </w:rPr>
      </w:pPr>
    </w:p>
    <w:p w14:paraId="34E99E99" w14:textId="0B9FADBC" w:rsidR="00D10A5B" w:rsidRDefault="00D10A5B" w:rsidP="00AF230B">
      <w:pPr>
        <w:spacing w:line="276" w:lineRule="auto"/>
        <w:rPr>
          <w:rFonts w:cs="Times New Roman"/>
          <w:color w:val="auto"/>
          <w:szCs w:val="28"/>
        </w:rPr>
      </w:pPr>
    </w:p>
    <w:p w14:paraId="626789DE" w14:textId="77777777" w:rsidR="001D639D" w:rsidRPr="006658F1" w:rsidRDefault="001D639D" w:rsidP="001D639D">
      <w:pPr>
        <w:widowControl w:val="0"/>
        <w:suppressAutoHyphens/>
        <w:autoSpaceDN w:val="0"/>
        <w:ind w:right="-283" w:firstLine="0"/>
        <w:textAlignment w:val="baseline"/>
        <w:rPr>
          <w:rFonts w:eastAsia="Calibri" w:cs="Times New Roman"/>
          <w:kern w:val="3"/>
          <w:szCs w:val="28"/>
          <w:lang w:eastAsia="zh-CN" w:bidi="hi-IN"/>
        </w:rPr>
      </w:pPr>
      <w:r w:rsidRPr="006658F1">
        <w:rPr>
          <w:rFonts w:eastAsia="Calibri" w:cs="Times New Roman"/>
          <w:kern w:val="3"/>
          <w:szCs w:val="28"/>
          <w:lang w:eastAsia="zh-CN" w:bidi="hi-IN"/>
        </w:rPr>
        <w:t xml:space="preserve">Глава </w:t>
      </w:r>
    </w:p>
    <w:p w14:paraId="3920E7FC" w14:textId="77777777" w:rsidR="001D639D" w:rsidRPr="006658F1" w:rsidRDefault="001D639D" w:rsidP="001D639D">
      <w:pPr>
        <w:widowControl w:val="0"/>
        <w:suppressAutoHyphens/>
        <w:autoSpaceDN w:val="0"/>
        <w:ind w:right="-283" w:firstLine="0"/>
        <w:textAlignment w:val="baseline"/>
        <w:rPr>
          <w:rFonts w:eastAsia="Calibri" w:cs="Times New Roman"/>
          <w:kern w:val="3"/>
          <w:szCs w:val="28"/>
          <w:lang w:eastAsia="zh-CN" w:bidi="hi-IN"/>
        </w:rPr>
      </w:pPr>
      <w:r w:rsidRPr="006658F1">
        <w:rPr>
          <w:rFonts w:eastAsia="Calibri" w:cs="Times New Roman"/>
          <w:kern w:val="3"/>
          <w:szCs w:val="28"/>
          <w:lang w:eastAsia="zh-CN" w:bidi="hi-IN"/>
        </w:rPr>
        <w:t>Донецкой Народной Республики</w:t>
      </w:r>
      <w:r w:rsidRPr="006658F1">
        <w:rPr>
          <w:rFonts w:eastAsia="Calibri" w:cs="Times New Roman"/>
          <w:kern w:val="3"/>
          <w:szCs w:val="28"/>
          <w:lang w:eastAsia="zh-CN" w:bidi="hi-IN"/>
        </w:rPr>
        <w:tab/>
      </w:r>
      <w:r w:rsidRPr="006658F1">
        <w:rPr>
          <w:rFonts w:eastAsia="Calibri" w:cs="Times New Roman"/>
          <w:kern w:val="3"/>
          <w:szCs w:val="28"/>
          <w:lang w:eastAsia="zh-CN" w:bidi="hi-IN"/>
        </w:rPr>
        <w:tab/>
      </w:r>
      <w:r w:rsidRPr="006658F1">
        <w:rPr>
          <w:rFonts w:eastAsia="Calibri" w:cs="Times New Roman"/>
          <w:kern w:val="3"/>
          <w:szCs w:val="28"/>
          <w:lang w:eastAsia="zh-CN" w:bidi="hi-IN"/>
        </w:rPr>
        <w:tab/>
      </w:r>
      <w:r w:rsidRPr="006658F1">
        <w:rPr>
          <w:rFonts w:eastAsia="Calibri" w:cs="Times New Roman"/>
          <w:kern w:val="3"/>
          <w:szCs w:val="28"/>
          <w:lang w:eastAsia="zh-CN" w:bidi="hi-IN"/>
        </w:rPr>
        <w:tab/>
      </w:r>
      <w:r w:rsidRPr="006658F1">
        <w:rPr>
          <w:rFonts w:eastAsia="Calibri" w:cs="Times New Roman"/>
          <w:kern w:val="3"/>
          <w:szCs w:val="28"/>
          <w:lang w:eastAsia="zh-CN" w:bidi="hi-IN"/>
        </w:rPr>
        <w:tab/>
        <w:t xml:space="preserve">   Д.В. </w:t>
      </w:r>
      <w:proofErr w:type="spellStart"/>
      <w:r w:rsidRPr="006658F1">
        <w:rPr>
          <w:rFonts w:eastAsia="Calibri" w:cs="Times New Roman"/>
          <w:kern w:val="3"/>
          <w:szCs w:val="28"/>
          <w:lang w:eastAsia="zh-CN" w:bidi="hi-IN"/>
        </w:rPr>
        <w:t>Пушилин</w:t>
      </w:r>
      <w:proofErr w:type="spellEnd"/>
    </w:p>
    <w:p w14:paraId="3E707C53" w14:textId="77777777" w:rsidR="001D639D" w:rsidRPr="006658F1" w:rsidRDefault="001D639D" w:rsidP="001D639D">
      <w:pPr>
        <w:widowControl w:val="0"/>
        <w:suppressAutoHyphens/>
        <w:autoSpaceDN w:val="0"/>
        <w:spacing w:after="120"/>
        <w:ind w:right="-1" w:firstLine="0"/>
        <w:textAlignment w:val="baseline"/>
        <w:rPr>
          <w:rFonts w:eastAsia="Calibri" w:cs="Times New Roman"/>
          <w:kern w:val="3"/>
          <w:szCs w:val="28"/>
          <w:lang w:eastAsia="zh-CN" w:bidi="hi-IN"/>
        </w:rPr>
      </w:pPr>
      <w:r w:rsidRPr="006658F1">
        <w:rPr>
          <w:rFonts w:eastAsia="Calibri" w:cs="Times New Roman"/>
          <w:kern w:val="3"/>
          <w:szCs w:val="28"/>
          <w:lang w:eastAsia="zh-CN" w:bidi="hi-IN"/>
        </w:rPr>
        <w:t>г. Донецк</w:t>
      </w:r>
    </w:p>
    <w:p w14:paraId="7C5E4474" w14:textId="669D9CA4" w:rsidR="001D639D" w:rsidRPr="006658F1" w:rsidRDefault="004868E4" w:rsidP="001D639D">
      <w:pPr>
        <w:widowControl w:val="0"/>
        <w:suppressAutoHyphens/>
        <w:autoSpaceDN w:val="0"/>
        <w:spacing w:after="120"/>
        <w:ind w:right="-1" w:firstLine="0"/>
        <w:textAlignment w:val="baseline"/>
        <w:rPr>
          <w:rFonts w:eastAsia="Calibri" w:cs="Times New Roman"/>
          <w:kern w:val="3"/>
          <w:szCs w:val="28"/>
          <w:lang w:eastAsia="zh-CN" w:bidi="hi-IN"/>
        </w:rPr>
      </w:pPr>
      <w:r>
        <w:rPr>
          <w:rFonts w:eastAsia="Calibri" w:cs="Times New Roman"/>
          <w:kern w:val="3"/>
          <w:szCs w:val="28"/>
          <w:lang w:eastAsia="zh-CN" w:bidi="hi-IN"/>
        </w:rPr>
        <w:t>24 сентября</w:t>
      </w:r>
      <w:r w:rsidR="001D639D" w:rsidRPr="006658F1">
        <w:rPr>
          <w:rFonts w:eastAsia="Calibri" w:cs="Times New Roman"/>
          <w:kern w:val="3"/>
          <w:szCs w:val="28"/>
          <w:lang w:eastAsia="zh-CN" w:bidi="hi-IN"/>
        </w:rPr>
        <w:t xml:space="preserve"> 2020 года</w:t>
      </w:r>
    </w:p>
    <w:p w14:paraId="47752135" w14:textId="337B333E" w:rsidR="001D639D" w:rsidRPr="006658F1" w:rsidRDefault="001D639D" w:rsidP="001D639D">
      <w:pPr>
        <w:tabs>
          <w:tab w:val="left" w:pos="6810"/>
        </w:tabs>
        <w:spacing w:after="120"/>
        <w:ind w:firstLine="0"/>
        <w:rPr>
          <w:rFonts w:cs="Times New Roman"/>
          <w:szCs w:val="28"/>
        </w:rPr>
      </w:pPr>
      <w:r w:rsidRPr="006658F1">
        <w:rPr>
          <w:rFonts w:eastAsia="Calibri" w:cs="Times New Roman"/>
          <w:color w:val="111111"/>
          <w:kern w:val="3"/>
          <w:szCs w:val="28"/>
          <w:lang w:eastAsia="zh-CN" w:bidi="hi-IN"/>
        </w:rPr>
        <w:t xml:space="preserve">№ </w:t>
      </w:r>
      <w:r w:rsidR="004868E4">
        <w:rPr>
          <w:rFonts w:eastAsia="Calibri" w:cs="Times New Roman"/>
          <w:color w:val="111111"/>
          <w:kern w:val="3"/>
          <w:szCs w:val="28"/>
          <w:lang w:eastAsia="zh-CN" w:bidi="hi-IN"/>
        </w:rPr>
        <w:t>194-IIНС</w:t>
      </w:r>
    </w:p>
    <w:p w14:paraId="3D294081" w14:textId="7F43AD98" w:rsidR="000959AE" w:rsidRPr="00D11020" w:rsidRDefault="000959AE" w:rsidP="001D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left"/>
        <w:rPr>
          <w:color w:val="auto"/>
        </w:rPr>
      </w:pPr>
    </w:p>
    <w:sectPr w:rsidR="000959AE" w:rsidRPr="00D11020" w:rsidSect="00AF230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2DD82" w14:textId="77777777" w:rsidR="00B05822" w:rsidRDefault="00B05822" w:rsidP="004439AA">
      <w:r>
        <w:separator/>
      </w:r>
    </w:p>
  </w:endnote>
  <w:endnote w:type="continuationSeparator" w:id="0">
    <w:p w14:paraId="526B71F1" w14:textId="77777777" w:rsidR="00B05822" w:rsidRDefault="00B05822" w:rsidP="0044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C52AC" w14:textId="77777777" w:rsidR="00B05822" w:rsidRDefault="00B05822" w:rsidP="004439AA">
      <w:r>
        <w:separator/>
      </w:r>
    </w:p>
  </w:footnote>
  <w:footnote w:type="continuationSeparator" w:id="0">
    <w:p w14:paraId="4860DFD1" w14:textId="77777777" w:rsidR="00B05822" w:rsidRDefault="00B05822" w:rsidP="00443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7281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2AD8CCF8" w14:textId="3B7ECF5A" w:rsidR="00736458" w:rsidRPr="00D74560" w:rsidRDefault="00AF432E">
        <w:pPr>
          <w:pStyle w:val="a3"/>
          <w:jc w:val="center"/>
          <w:rPr>
            <w:sz w:val="24"/>
          </w:rPr>
        </w:pPr>
        <w:r w:rsidRPr="00D74560">
          <w:rPr>
            <w:sz w:val="24"/>
          </w:rPr>
          <w:fldChar w:fldCharType="begin"/>
        </w:r>
        <w:r w:rsidR="00736458" w:rsidRPr="00D74560">
          <w:rPr>
            <w:sz w:val="24"/>
          </w:rPr>
          <w:instrText>PAGE   \* MERGEFORMAT</w:instrText>
        </w:r>
        <w:r w:rsidRPr="00D74560">
          <w:rPr>
            <w:sz w:val="24"/>
          </w:rPr>
          <w:fldChar w:fldCharType="separate"/>
        </w:r>
        <w:r w:rsidR="00FF7417">
          <w:rPr>
            <w:noProof/>
            <w:sz w:val="24"/>
          </w:rPr>
          <w:t>3</w:t>
        </w:r>
        <w:r w:rsidRPr="00D74560">
          <w:rPr>
            <w:sz w:val="24"/>
          </w:rPr>
          <w:fldChar w:fldCharType="end"/>
        </w:r>
      </w:p>
    </w:sdtContent>
  </w:sdt>
  <w:p w14:paraId="5A3C0ABA" w14:textId="77777777" w:rsidR="00736458" w:rsidRDefault="007364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05D0"/>
    <w:multiLevelType w:val="hybridMultilevel"/>
    <w:tmpl w:val="03F42B2A"/>
    <w:lvl w:ilvl="0" w:tplc="DA5CB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10743C"/>
    <w:multiLevelType w:val="hybridMultilevel"/>
    <w:tmpl w:val="44F4A93C"/>
    <w:lvl w:ilvl="0" w:tplc="DA5CB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BB6B2A"/>
    <w:multiLevelType w:val="hybridMultilevel"/>
    <w:tmpl w:val="44F4A93C"/>
    <w:lvl w:ilvl="0" w:tplc="DA5CB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B6"/>
    <w:rsid w:val="00001532"/>
    <w:rsid w:val="00003658"/>
    <w:rsid w:val="0001625A"/>
    <w:rsid w:val="0002170A"/>
    <w:rsid w:val="000261BE"/>
    <w:rsid w:val="00041CCF"/>
    <w:rsid w:val="0008380E"/>
    <w:rsid w:val="000959AE"/>
    <w:rsid w:val="000B1248"/>
    <w:rsid w:val="000B58A4"/>
    <w:rsid w:val="000C65C7"/>
    <w:rsid w:val="000C7B24"/>
    <w:rsid w:val="000F0610"/>
    <w:rsid w:val="000F3740"/>
    <w:rsid w:val="00115613"/>
    <w:rsid w:val="0013517F"/>
    <w:rsid w:val="00135AA2"/>
    <w:rsid w:val="00136678"/>
    <w:rsid w:val="0013704A"/>
    <w:rsid w:val="0016790A"/>
    <w:rsid w:val="00174E73"/>
    <w:rsid w:val="001762D5"/>
    <w:rsid w:val="0017699E"/>
    <w:rsid w:val="00185F62"/>
    <w:rsid w:val="001A1094"/>
    <w:rsid w:val="001A163E"/>
    <w:rsid w:val="001B4F9A"/>
    <w:rsid w:val="001C2BEC"/>
    <w:rsid w:val="001D639D"/>
    <w:rsid w:val="001F2039"/>
    <w:rsid w:val="001F3FD4"/>
    <w:rsid w:val="00203BB6"/>
    <w:rsid w:val="0020537C"/>
    <w:rsid w:val="00212A6D"/>
    <w:rsid w:val="0022731B"/>
    <w:rsid w:val="002360CC"/>
    <w:rsid w:val="00246F2A"/>
    <w:rsid w:val="00260F6B"/>
    <w:rsid w:val="00265E99"/>
    <w:rsid w:val="002970FD"/>
    <w:rsid w:val="002B2F97"/>
    <w:rsid w:val="002C6BD4"/>
    <w:rsid w:val="002C71CB"/>
    <w:rsid w:val="002D503E"/>
    <w:rsid w:val="002F3557"/>
    <w:rsid w:val="003124E1"/>
    <w:rsid w:val="003272BC"/>
    <w:rsid w:val="00327F2E"/>
    <w:rsid w:val="00335513"/>
    <w:rsid w:val="00337904"/>
    <w:rsid w:val="00343E9C"/>
    <w:rsid w:val="00346526"/>
    <w:rsid w:val="00351B94"/>
    <w:rsid w:val="00360AF0"/>
    <w:rsid w:val="00367742"/>
    <w:rsid w:val="00372BF3"/>
    <w:rsid w:val="0037724B"/>
    <w:rsid w:val="00387D08"/>
    <w:rsid w:val="003D2B19"/>
    <w:rsid w:val="003D36A6"/>
    <w:rsid w:val="003D472E"/>
    <w:rsid w:val="003D63DF"/>
    <w:rsid w:val="003F1BD2"/>
    <w:rsid w:val="003F3531"/>
    <w:rsid w:val="00425282"/>
    <w:rsid w:val="004259D1"/>
    <w:rsid w:val="00426AFF"/>
    <w:rsid w:val="00426FF8"/>
    <w:rsid w:val="004303BC"/>
    <w:rsid w:val="00431512"/>
    <w:rsid w:val="00434A37"/>
    <w:rsid w:val="00436EFE"/>
    <w:rsid w:val="004439AA"/>
    <w:rsid w:val="00453069"/>
    <w:rsid w:val="00475D60"/>
    <w:rsid w:val="00484555"/>
    <w:rsid w:val="00484A3D"/>
    <w:rsid w:val="004868E4"/>
    <w:rsid w:val="00487A4B"/>
    <w:rsid w:val="00492578"/>
    <w:rsid w:val="00493F4F"/>
    <w:rsid w:val="00497E3B"/>
    <w:rsid w:val="004A2674"/>
    <w:rsid w:val="004A278B"/>
    <w:rsid w:val="004A5893"/>
    <w:rsid w:val="004B573A"/>
    <w:rsid w:val="004C03E5"/>
    <w:rsid w:val="004F65DF"/>
    <w:rsid w:val="004F6D4D"/>
    <w:rsid w:val="00500E10"/>
    <w:rsid w:val="0051035F"/>
    <w:rsid w:val="00514ADA"/>
    <w:rsid w:val="005445FF"/>
    <w:rsid w:val="0055198A"/>
    <w:rsid w:val="005623A8"/>
    <w:rsid w:val="005671E8"/>
    <w:rsid w:val="005768FE"/>
    <w:rsid w:val="0058650E"/>
    <w:rsid w:val="005C3420"/>
    <w:rsid w:val="005C691E"/>
    <w:rsid w:val="005C6E80"/>
    <w:rsid w:val="005E16A0"/>
    <w:rsid w:val="005E6BC5"/>
    <w:rsid w:val="006055FE"/>
    <w:rsid w:val="006075BD"/>
    <w:rsid w:val="00607CA5"/>
    <w:rsid w:val="00613D3D"/>
    <w:rsid w:val="00622C2A"/>
    <w:rsid w:val="0062593A"/>
    <w:rsid w:val="00657E5F"/>
    <w:rsid w:val="00683C4E"/>
    <w:rsid w:val="006A1959"/>
    <w:rsid w:val="006A70F7"/>
    <w:rsid w:val="006B1EEF"/>
    <w:rsid w:val="006C0BEE"/>
    <w:rsid w:val="006D50F1"/>
    <w:rsid w:val="006E7C8B"/>
    <w:rsid w:val="006F0E65"/>
    <w:rsid w:val="006F2BDB"/>
    <w:rsid w:val="00700A3E"/>
    <w:rsid w:val="00712771"/>
    <w:rsid w:val="00713440"/>
    <w:rsid w:val="007211A7"/>
    <w:rsid w:val="007270D6"/>
    <w:rsid w:val="00735579"/>
    <w:rsid w:val="00736458"/>
    <w:rsid w:val="0075715A"/>
    <w:rsid w:val="007658F1"/>
    <w:rsid w:val="00782AFB"/>
    <w:rsid w:val="00790E9C"/>
    <w:rsid w:val="00791005"/>
    <w:rsid w:val="007A6924"/>
    <w:rsid w:val="007B23F2"/>
    <w:rsid w:val="007C59D4"/>
    <w:rsid w:val="007D1502"/>
    <w:rsid w:val="007D361D"/>
    <w:rsid w:val="007E1809"/>
    <w:rsid w:val="007E1980"/>
    <w:rsid w:val="007F410A"/>
    <w:rsid w:val="00815D85"/>
    <w:rsid w:val="00831421"/>
    <w:rsid w:val="00831FDB"/>
    <w:rsid w:val="00840C71"/>
    <w:rsid w:val="00841B8C"/>
    <w:rsid w:val="00856C05"/>
    <w:rsid w:val="0086665B"/>
    <w:rsid w:val="00885796"/>
    <w:rsid w:val="00890E90"/>
    <w:rsid w:val="008A44B4"/>
    <w:rsid w:val="008B47E5"/>
    <w:rsid w:val="008B79F7"/>
    <w:rsid w:val="008B7DC8"/>
    <w:rsid w:val="008D36C5"/>
    <w:rsid w:val="008E1D6A"/>
    <w:rsid w:val="00917134"/>
    <w:rsid w:val="00917A28"/>
    <w:rsid w:val="00920F77"/>
    <w:rsid w:val="00945C8E"/>
    <w:rsid w:val="00946A44"/>
    <w:rsid w:val="009618B6"/>
    <w:rsid w:val="00963F3F"/>
    <w:rsid w:val="00973077"/>
    <w:rsid w:val="00980988"/>
    <w:rsid w:val="00983869"/>
    <w:rsid w:val="00984BC9"/>
    <w:rsid w:val="009907B3"/>
    <w:rsid w:val="009939AE"/>
    <w:rsid w:val="00994E49"/>
    <w:rsid w:val="009A071B"/>
    <w:rsid w:val="009C5E23"/>
    <w:rsid w:val="009D0406"/>
    <w:rsid w:val="009D4374"/>
    <w:rsid w:val="009D7890"/>
    <w:rsid w:val="009E07AF"/>
    <w:rsid w:val="009F68E8"/>
    <w:rsid w:val="00A27D30"/>
    <w:rsid w:val="00A33781"/>
    <w:rsid w:val="00A37D9A"/>
    <w:rsid w:val="00A45B0A"/>
    <w:rsid w:val="00A65D67"/>
    <w:rsid w:val="00A70D0A"/>
    <w:rsid w:val="00A75177"/>
    <w:rsid w:val="00A95CDB"/>
    <w:rsid w:val="00AA032A"/>
    <w:rsid w:val="00AB0001"/>
    <w:rsid w:val="00AB04C1"/>
    <w:rsid w:val="00AB646D"/>
    <w:rsid w:val="00AD100E"/>
    <w:rsid w:val="00AE22E1"/>
    <w:rsid w:val="00AF230B"/>
    <w:rsid w:val="00AF2D26"/>
    <w:rsid w:val="00AF432E"/>
    <w:rsid w:val="00AF4E2E"/>
    <w:rsid w:val="00B05822"/>
    <w:rsid w:val="00B13920"/>
    <w:rsid w:val="00B16D37"/>
    <w:rsid w:val="00B24DC6"/>
    <w:rsid w:val="00B26361"/>
    <w:rsid w:val="00B27F04"/>
    <w:rsid w:val="00B30727"/>
    <w:rsid w:val="00B611A6"/>
    <w:rsid w:val="00B8791A"/>
    <w:rsid w:val="00BB44D5"/>
    <w:rsid w:val="00BB4AD6"/>
    <w:rsid w:val="00BC267A"/>
    <w:rsid w:val="00BC472A"/>
    <w:rsid w:val="00BC7FF8"/>
    <w:rsid w:val="00BD2C0A"/>
    <w:rsid w:val="00BD6741"/>
    <w:rsid w:val="00BE1417"/>
    <w:rsid w:val="00BE189A"/>
    <w:rsid w:val="00BE40C4"/>
    <w:rsid w:val="00BF1975"/>
    <w:rsid w:val="00BF7521"/>
    <w:rsid w:val="00C15964"/>
    <w:rsid w:val="00C26A96"/>
    <w:rsid w:val="00C271AE"/>
    <w:rsid w:val="00C36249"/>
    <w:rsid w:val="00C55D2C"/>
    <w:rsid w:val="00C623E7"/>
    <w:rsid w:val="00C64CA8"/>
    <w:rsid w:val="00C652EC"/>
    <w:rsid w:val="00C67BDC"/>
    <w:rsid w:val="00C80172"/>
    <w:rsid w:val="00C900EB"/>
    <w:rsid w:val="00C928AA"/>
    <w:rsid w:val="00CA1626"/>
    <w:rsid w:val="00CA3CDC"/>
    <w:rsid w:val="00CA4F83"/>
    <w:rsid w:val="00CB0D7E"/>
    <w:rsid w:val="00CB70A6"/>
    <w:rsid w:val="00CC7FC4"/>
    <w:rsid w:val="00CD2B0F"/>
    <w:rsid w:val="00CD6507"/>
    <w:rsid w:val="00CD6D65"/>
    <w:rsid w:val="00CE2BF8"/>
    <w:rsid w:val="00CF2F32"/>
    <w:rsid w:val="00D00B21"/>
    <w:rsid w:val="00D0177C"/>
    <w:rsid w:val="00D03400"/>
    <w:rsid w:val="00D10A5B"/>
    <w:rsid w:val="00D11020"/>
    <w:rsid w:val="00D1386F"/>
    <w:rsid w:val="00D159C2"/>
    <w:rsid w:val="00D16B54"/>
    <w:rsid w:val="00D20A8B"/>
    <w:rsid w:val="00D21EEA"/>
    <w:rsid w:val="00D25A5F"/>
    <w:rsid w:val="00D346F5"/>
    <w:rsid w:val="00D36CF9"/>
    <w:rsid w:val="00D61DAD"/>
    <w:rsid w:val="00D71350"/>
    <w:rsid w:val="00D74560"/>
    <w:rsid w:val="00D75106"/>
    <w:rsid w:val="00D77303"/>
    <w:rsid w:val="00D80908"/>
    <w:rsid w:val="00D936BC"/>
    <w:rsid w:val="00D955BC"/>
    <w:rsid w:val="00DA584E"/>
    <w:rsid w:val="00DC27EA"/>
    <w:rsid w:val="00DC366C"/>
    <w:rsid w:val="00DC516A"/>
    <w:rsid w:val="00E038DA"/>
    <w:rsid w:val="00E25FB8"/>
    <w:rsid w:val="00E30B08"/>
    <w:rsid w:val="00E340C2"/>
    <w:rsid w:val="00E50531"/>
    <w:rsid w:val="00E50B3F"/>
    <w:rsid w:val="00E677C6"/>
    <w:rsid w:val="00E81258"/>
    <w:rsid w:val="00E8523B"/>
    <w:rsid w:val="00EA103E"/>
    <w:rsid w:val="00EA358D"/>
    <w:rsid w:val="00EC1B0B"/>
    <w:rsid w:val="00EC34F3"/>
    <w:rsid w:val="00EC41CD"/>
    <w:rsid w:val="00ED68B1"/>
    <w:rsid w:val="00ED7CD8"/>
    <w:rsid w:val="00F00C76"/>
    <w:rsid w:val="00F0198E"/>
    <w:rsid w:val="00F06E0E"/>
    <w:rsid w:val="00F1235E"/>
    <w:rsid w:val="00F13F11"/>
    <w:rsid w:val="00F35328"/>
    <w:rsid w:val="00F37731"/>
    <w:rsid w:val="00F402F5"/>
    <w:rsid w:val="00F43505"/>
    <w:rsid w:val="00F45E3B"/>
    <w:rsid w:val="00F46964"/>
    <w:rsid w:val="00F5251B"/>
    <w:rsid w:val="00F64245"/>
    <w:rsid w:val="00F64EF8"/>
    <w:rsid w:val="00F662D8"/>
    <w:rsid w:val="00F7181A"/>
    <w:rsid w:val="00F72F1E"/>
    <w:rsid w:val="00F7797C"/>
    <w:rsid w:val="00F83A63"/>
    <w:rsid w:val="00FA4095"/>
    <w:rsid w:val="00FA5AB0"/>
    <w:rsid w:val="00FB79CE"/>
    <w:rsid w:val="00FC3C9B"/>
    <w:rsid w:val="00FD68BC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7466"/>
  <w15:docId w15:val="{79E9C7EB-60AF-4B7C-86E6-1E3A0461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39AA"/>
  </w:style>
  <w:style w:type="paragraph" w:styleId="a5">
    <w:name w:val="footer"/>
    <w:basedOn w:val="a"/>
    <w:link w:val="a6"/>
    <w:uiPriority w:val="99"/>
    <w:unhideWhenUsed/>
    <w:rsid w:val="00443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39AA"/>
  </w:style>
  <w:style w:type="paragraph" w:styleId="a7">
    <w:name w:val="List Paragraph"/>
    <w:basedOn w:val="a"/>
    <w:uiPriority w:val="34"/>
    <w:qFormat/>
    <w:rsid w:val="005768F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1BD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1B8C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E189A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189A"/>
    <w:rPr>
      <w:rFonts w:ascii="Arial" w:hAnsi="Arial" w:cs="Arial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D472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472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D472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472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D472E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7E1809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809"/>
    <w:pPr>
      <w:widowControl w:val="0"/>
      <w:shd w:val="clear" w:color="auto" w:fill="FFFFFF"/>
      <w:spacing w:before="340" w:after="340" w:line="310" w:lineRule="exact"/>
      <w:ind w:hanging="1360"/>
      <w:jc w:val="center"/>
    </w:pPr>
    <w:rPr>
      <w:rFonts w:eastAsia="Times New Roman" w:cs="Times New Roman"/>
      <w:szCs w:val="28"/>
    </w:rPr>
  </w:style>
  <w:style w:type="character" w:customStyle="1" w:styleId="npa-title">
    <w:name w:val="npa-title"/>
    <w:basedOn w:val="a0"/>
    <w:rsid w:val="009907B3"/>
  </w:style>
  <w:style w:type="paragraph" w:customStyle="1" w:styleId="western">
    <w:name w:val="western"/>
    <w:basedOn w:val="a"/>
    <w:rsid w:val="00DC516A"/>
    <w:pPr>
      <w:spacing w:before="100" w:beforeAutospacing="1" w:after="100" w:afterAutospacing="1" w:line="480" w:lineRule="auto"/>
      <w:ind w:firstLine="0"/>
      <w:jc w:val="left"/>
    </w:pPr>
    <w:rPr>
      <w:rFonts w:eastAsia="Times New Roman" w:cs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9-12-17/81-iins-grazhdanskij-kodeks-donetskoj-narodnoj-respubliki-dejstvuyushhaya-redaktsiya-po-sostoyaniyu-na-07-09-2020-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2020-04-09T09:23:00Z</cp:lastPrinted>
  <dcterms:created xsi:type="dcterms:W3CDTF">2020-09-25T08:54:00Z</dcterms:created>
  <dcterms:modified xsi:type="dcterms:W3CDTF">2020-09-25T09:07:00Z</dcterms:modified>
</cp:coreProperties>
</file>