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51EC3648" w:rsid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6DEB4DD5" w14:textId="77777777" w:rsidR="0022352F" w:rsidRPr="00700E19" w:rsidRDefault="0022352F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4D742" w14:textId="0747D687" w:rsidR="00F901EC" w:rsidRDefault="0022352F" w:rsidP="0022352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2352F"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</w:t>
      </w:r>
      <w:r w:rsidR="00F901EC">
        <w:rPr>
          <w:rFonts w:ascii="Times New Roman" w:hAnsi="Times New Roman"/>
          <w:bCs/>
          <w:i/>
          <w:sz w:val="28"/>
          <w:szCs w:val="28"/>
        </w:rPr>
        <w:t>з</w:t>
      </w:r>
      <w:r w:rsidRPr="0022352F">
        <w:rPr>
          <w:rFonts w:ascii="Times New Roman" w:hAnsi="Times New Roman"/>
          <w:bCs/>
          <w:i/>
          <w:sz w:val="28"/>
          <w:szCs w:val="28"/>
        </w:rPr>
        <w:t>акон</w:t>
      </w:r>
      <w:r w:rsidR="00F901EC">
        <w:rPr>
          <w:rFonts w:ascii="Times New Roman" w:hAnsi="Times New Roman"/>
          <w:bCs/>
          <w:i/>
          <w:sz w:val="28"/>
          <w:szCs w:val="28"/>
        </w:rPr>
        <w:t>ами</w:t>
      </w:r>
      <w:r w:rsidR="00D1623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0BDB89B" w14:textId="554F93B7" w:rsidR="00F901EC" w:rsidRDefault="003302A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9" w:history="1">
        <w:r w:rsidR="0022352F" w:rsidRPr="0022352F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28.12.2020 № 234-IIНС</w:t>
        </w:r>
      </w:hyperlink>
      <w:r w:rsidR="00F901EC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1EB32D5F" w14:textId="4263FF61" w:rsidR="008B7596" w:rsidRDefault="003302A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10" w:history="1"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15.04.2022 № 362-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  <w:lang w:val="en-US"/>
          </w:rPr>
          <w:t>II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НС</w:t>
        </w:r>
      </w:hyperlink>
      <w:r w:rsidR="008B7596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5D7D02A5" w14:textId="61D8BC3A" w:rsidR="009B7A16" w:rsidRDefault="003302A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</w:rPr>
      </w:pPr>
      <w:hyperlink r:id="rId11" w:history="1"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от 24.06.2022 № 385-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9B7A16">
        <w:rPr>
          <w:rStyle w:val="a4"/>
          <w:rFonts w:ascii="Times New Roman" w:hAnsi="Times New Roman"/>
          <w:i/>
          <w:iCs/>
          <w:sz w:val="28"/>
          <w:szCs w:val="28"/>
        </w:rPr>
        <w:t>,</w:t>
      </w:r>
    </w:p>
    <w:p w14:paraId="649E1430" w14:textId="3AB321F0" w:rsidR="005B0C58" w:rsidRDefault="003302A1" w:rsidP="005B0C58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</w:rPr>
      </w:pPr>
      <w:hyperlink r:id="rId12" w:history="1">
        <w:r w:rsidR="009B7A16" w:rsidRPr="009B7A16">
          <w:rPr>
            <w:rStyle w:val="a4"/>
            <w:rFonts w:ascii="Times New Roman" w:hAnsi="Times New Roman"/>
            <w:i/>
            <w:iCs/>
            <w:sz w:val="28"/>
            <w:szCs w:val="28"/>
          </w:rPr>
          <w:t>от 12.08.2022 № 402-</w:t>
        </w:r>
        <w:r w:rsidR="009B7A16" w:rsidRPr="009B7A1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9B7A16" w:rsidRPr="009B7A16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5B0C58">
        <w:rPr>
          <w:rStyle w:val="a4"/>
          <w:rFonts w:ascii="Times New Roman" w:hAnsi="Times New Roman"/>
          <w:i/>
          <w:iCs/>
          <w:sz w:val="28"/>
          <w:szCs w:val="28"/>
        </w:rPr>
        <w:t>,</w:t>
      </w:r>
    </w:p>
    <w:p w14:paraId="031D1987" w14:textId="09085606" w:rsidR="0022352F" w:rsidRDefault="003302A1" w:rsidP="005B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5B0C58" w:rsidRPr="005B0C58">
          <w:rPr>
            <w:rStyle w:val="a4"/>
            <w:rFonts w:ascii="Times New Roman" w:hAnsi="Times New Roman"/>
            <w:i/>
            <w:iCs/>
            <w:sz w:val="28"/>
            <w:szCs w:val="28"/>
          </w:rPr>
          <w:t>от 27.09.2022 № 418-</w:t>
        </w:r>
        <w:r w:rsidR="005B0C58" w:rsidRPr="005B0C58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5B0C58" w:rsidRPr="005B0C58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22352F">
        <w:rPr>
          <w:rFonts w:ascii="Times New Roman" w:hAnsi="Times New Roman"/>
          <w:sz w:val="28"/>
          <w:szCs w:val="28"/>
        </w:rPr>
        <w:t>)</w:t>
      </w:r>
    </w:p>
    <w:p w14:paraId="08C930D0" w14:textId="77777777" w:rsidR="005B0C58" w:rsidRDefault="005B0C58" w:rsidP="005B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6244C6" w14:textId="77777777" w:rsidR="005B0C58" w:rsidRPr="00700E19" w:rsidRDefault="005B0C58" w:rsidP="005B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18181221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3302A1">
        <w:fldChar w:fldCharType="begin"/>
      </w:r>
      <w:r w:rsidR="003302A1">
        <w:instrText xml:space="preserve"> HYPERLINK "</w:instrText>
      </w:r>
      <w:r w:rsidR="00F332A4">
        <w:instrText>http://npa.dnronline.su/2019-12-17/grazhdanskij-kodeks-donetskoj-narodnoj-respubliki.html</w:instrText>
      </w:r>
      <w:r w:rsidR="003302A1">
        <w:instrText xml:space="preserve">" </w:instrText>
      </w:r>
      <w:r w:rsidR="003302A1">
        <w:fldChar w:fldCharType="separate"/>
      </w:r>
      <w:r w:rsidR="0075149F" w:rsidRPr="003227C1">
        <w:rPr>
          <w:rStyle w:val="a4"/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3302A1">
        <w:rPr>
          <w:rStyle w:val="a4"/>
          <w:rFonts w:ascii="Times New Roman" w:hAnsi="Times New Roman"/>
          <w:sz w:val="28"/>
          <w:szCs w:val="28"/>
        </w:rPr>
        <w:fldChar w:fldCharType="end"/>
      </w:r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14058747" w:rsidR="008C019E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C09D0" w:rsidRPr="00EA3542">
        <w:rPr>
          <w:rFonts w:ascii="Times New Roman" w:hAnsi="Times New Roman"/>
          <w:sz w:val="28"/>
          <w:szCs w:val="28"/>
        </w:rPr>
        <w:t>Также от имени Донецкой Народной Республики права собственника имущества государственного унитарного предприятия могут осуществлять государственные органы, государственные корпорации, государственные концерны в 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="008C019E" w:rsidRPr="00A46DA0">
        <w:rPr>
          <w:rFonts w:ascii="Times New Roman" w:hAnsi="Times New Roman"/>
          <w:sz w:val="28"/>
          <w:szCs w:val="28"/>
        </w:rPr>
        <w:t>.</w:t>
      </w:r>
    </w:p>
    <w:p w14:paraId="724B2F14" w14:textId="5F82693B" w:rsidR="006C09D0" w:rsidRPr="006C09D0" w:rsidRDefault="003302A1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( </w:t>
        </w:r>
        <w:r w:rsidR="00B60C5D">
          <w:rPr>
            <w:rStyle w:val="a4"/>
            <w:rFonts w:ascii="Times New Roman" w:hAnsi="Times New Roman"/>
            <w:i/>
            <w:sz w:val="28"/>
            <w:szCs w:val="28"/>
          </w:rPr>
          <w:t xml:space="preserve">Часть 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2 статьи 2 с изменениями, внесенными Законом </w:t>
        </w:r>
        <w:bookmarkStart w:id="1" w:name="_Hlk61260029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от 28.12.2020 № 234-IIНС</w:t>
        </w:r>
        <w:bookmarkEnd w:id="1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)</w:t>
        </w:r>
      </w:hyperlink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не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00C7361A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 xml:space="preserve">) необходимости производства отдельных видов продукции, изъятой из оборота или ограниченно </w:t>
      </w:r>
      <w:proofErr w:type="spellStart"/>
      <w:r w:rsidR="00E222DD"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Pr="00A46DA0">
        <w:rPr>
          <w:rFonts w:ascii="Times New Roman" w:hAnsi="Times New Roman"/>
          <w:sz w:val="28"/>
          <w:szCs w:val="28"/>
        </w:rPr>
        <w:t>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3CFF2753" w:rsidR="004E379A" w:rsidRDefault="006C09D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</w:t>
      </w:r>
      <w:r w:rsidRPr="00EA3542">
        <w:rPr>
          <w:rFonts w:ascii="Times New Roman" w:hAnsi="Times New Roman"/>
          <w:sz w:val="28"/>
          <w:szCs w:val="28"/>
        </w:rPr>
        <w:lastRenderedPageBreak/>
        <w:t>которых осуществляют государственные корпорации и государственные концерны, – указанными корпорациями и концернами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23946D20" w14:textId="2949EC76" w:rsidR="006C09D0" w:rsidRPr="006C09D0" w:rsidRDefault="003302A1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2 статьи 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9 изложена в новой редакции в соответствии с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08A6A841" w:rsidR="004E379A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243D86" w:rsidRPr="00EA3542">
        <w:rPr>
          <w:rFonts w:ascii="Times New Roman" w:hAnsi="Times New Roman"/>
          <w:sz w:val="28"/>
          <w:szCs w:val="28"/>
        </w:rPr>
        <w:t>государственного органа, государственной корпорации, государственного концерна или органа местного самоуправления</w:t>
      </w:r>
      <w:r w:rsidR="004E379A" w:rsidRPr="00A46DA0">
        <w:rPr>
          <w:rFonts w:ascii="Times New Roman" w:hAnsi="Times New Roman"/>
          <w:sz w:val="28"/>
          <w:szCs w:val="28"/>
        </w:rPr>
        <w:t>, уполномоченных утверждать устав унитарного предприятия.</w:t>
      </w:r>
    </w:p>
    <w:p w14:paraId="7C917351" w14:textId="0F9606DA" w:rsidR="00243D86" w:rsidRPr="00243D86" w:rsidRDefault="003302A1" w:rsidP="00243D8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243D86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7 статьи 9 с изменениями, внесенными </w:t>
        </w:r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>, если иное не предусмотрено законом или 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>ля этих целей банковский 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>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, собственник имущества государственного или 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>Если в случаях, предусмотренных настоящей статьей, собственник имущества государственного или муниципального предприятия в течение 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осуществляется только при </w:t>
      </w:r>
      <w:r w:rsidRPr="00A46DA0">
        <w:rPr>
          <w:rFonts w:ascii="Times New Roman" w:hAnsi="Times New Roman"/>
          <w:sz w:val="28"/>
          <w:szCs w:val="28"/>
        </w:rPr>
        <w:lastRenderedPageBreak/>
        <w:t>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товарищества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>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 xml:space="preserve">(или) иного передаваемого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53B6CFD4" w:rsidR="004E379A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760080" w:rsidRPr="00EA3542">
        <w:rPr>
          <w:rFonts w:ascii="Times New Roman" w:hAnsi="Times New Roman"/>
          <w:sz w:val="28"/>
          <w:szCs w:val="28"/>
        </w:rPr>
        <w:t>собственника имущества такого предприятия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9412E21" w14:textId="30C888E8" w:rsidR="00760080" w:rsidRPr="00760080" w:rsidRDefault="003302A1" w:rsidP="0076008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8" w:history="1"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760080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1 статьи 19 с изменениями, внесенными </w:t>
        </w:r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6905C6E8" w14:textId="77777777" w:rsidR="003531A7" w:rsidRPr="003531A7" w:rsidRDefault="003531A7" w:rsidP="003531A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31A7">
        <w:rPr>
          <w:rFonts w:ascii="Times New Roman" w:eastAsia="Calibri" w:hAnsi="Times New Roman"/>
          <w:sz w:val="28"/>
          <w:szCs w:val="28"/>
        </w:rPr>
        <w:t>3) 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14:paraId="18780998" w14:textId="59CF9B9E" w:rsidR="004E379A" w:rsidRPr="00A46DA0" w:rsidRDefault="003302A1" w:rsidP="003531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531A7" w:rsidRPr="003531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(Пункт 3 части 1 статьи 20 изложен в новой редакции в соответствии с Законом от 27.09.2022 № 418-I</w:t>
        </w:r>
        <w:r w:rsidR="003531A7" w:rsidRPr="003531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</w:t>
        </w:r>
        <w:r w:rsidR="003531A7" w:rsidRPr="003531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06396400" w14:textId="77777777" w:rsidR="00D52DED" w:rsidRPr="00D52DED" w:rsidRDefault="00D52DED" w:rsidP="00D52DED">
      <w:pPr>
        <w:spacing w:after="0"/>
        <w:ind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DED">
        <w:rPr>
          <w:rFonts w:ascii="Times New Roman" w:eastAsia="Calibri" w:hAnsi="Times New Roman"/>
          <w:sz w:val="28"/>
          <w:szCs w:val="28"/>
          <w:lang w:eastAsia="en-US"/>
        </w:rPr>
        <w:t>12) утверждает показатели экономической деятельности в составе программы финансово-хозяйственной деятельности унитарного предприятия и контролирует их выполнение;</w:t>
      </w:r>
    </w:p>
    <w:p w14:paraId="62BDFFFB" w14:textId="77777777" w:rsidR="00D52DED" w:rsidRPr="00D52DED" w:rsidRDefault="00D52DED" w:rsidP="00D52DED">
      <w:pPr>
        <w:spacing w:after="0"/>
        <w:ind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C444B7" w14:textId="24197441" w:rsidR="004E379A" w:rsidRPr="00A46DA0" w:rsidRDefault="003302A1" w:rsidP="00D52DE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52DED" w:rsidRPr="00D52DE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(Пункт 12 части 1 статьи 20 изложен в новой редакции в соответствии с Законом от 27.09.2022 № 418-I</w:t>
        </w:r>
        <w:r w:rsidR="00D52DED" w:rsidRPr="00D52DE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</w:t>
        </w:r>
        <w:r w:rsidR="00D52DED" w:rsidRPr="00D52DE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7F8CE736" w14:textId="77777777" w:rsidR="004E379A" w:rsidRPr="00A46DA0" w:rsidRDefault="00030D72" w:rsidP="0008626B">
      <w:pPr>
        <w:pStyle w:val="ad"/>
      </w:pPr>
      <w:r w:rsidRPr="00A46DA0"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17)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10744C5E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21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7AFCB26A" w14:textId="4FFBD7E2" w:rsidR="00EA46C2" w:rsidRPr="00EA3542" w:rsidRDefault="00EA46C2" w:rsidP="00EA46C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предприятия по созданию, реорганизации и ликвидации государственного предприятия, а также даче согласия на распоряжение недвижимым имуществом осуществляются Правительством Донецкой Народной Республики. 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собственника имущества государственного предприятия могут осуществляться Правительством Донецкой Народной Республики, иными государственными органами, государственными корпорациями, государственными концернами в </w:t>
      </w:r>
      <w:r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467DE124" w14:textId="77777777" w:rsidR="00EA46C2" w:rsidRDefault="00EA46C2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предприятия, а также даче согласия</w:t>
      </w:r>
      <w:r w:rsidRPr="00EA3542">
        <w:rPr>
          <w:rFonts w:ascii="Times New Roman" w:hAnsi="Times New Roman"/>
          <w:sz w:val="28"/>
          <w:szCs w:val="28"/>
        </w:rPr>
        <w:t xml:space="preserve"> на распоряжение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Правительством Донецкой Народной Республики. Иные правомочия собственника имущества государственного казенного предприятия могут осуществляться Правительством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 xml:space="preserve">, иными </w:t>
      </w:r>
      <w:r w:rsidRPr="00797CDE">
        <w:rPr>
          <w:rFonts w:ascii="Times New Roman" w:hAnsi="Times New Roman"/>
          <w:sz w:val="28"/>
          <w:szCs w:val="28"/>
        </w:rPr>
        <w:t xml:space="preserve">государственными органами, государственными корпорациями, </w:t>
      </w:r>
      <w:r w:rsidRPr="00797CDE">
        <w:rPr>
          <w:rFonts w:ascii="Times New Roman" w:hAnsi="Times New Roman"/>
          <w:sz w:val="28"/>
          <w:szCs w:val="28"/>
        </w:rPr>
        <w:lastRenderedPageBreak/>
        <w:t xml:space="preserve">государственными концернами в соответствии с законами, нормативными </w:t>
      </w:r>
      <w:r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A140B1B" w14:textId="5C9E9C99" w:rsidR="00EA46C2" w:rsidRPr="00EA46C2" w:rsidRDefault="003302A1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2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20 изложена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 xml:space="preserve">, органах местного </w:t>
      </w:r>
      <w:r w:rsidRPr="00A46DA0">
        <w:rPr>
          <w:rFonts w:ascii="Times New Roman" w:hAnsi="Times New Roman"/>
          <w:sz w:val="28"/>
          <w:szCs w:val="28"/>
        </w:rPr>
        <w:lastRenderedPageBreak/>
        <w:t>самоуправления, коммерческих и некоммерческих организациях, кроме 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владеют (каждый в отдельности или в совокупности) двадцатью и более процентами акций (долей, паев) юридического лица, являющегося стороной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4E379A" w:rsidRPr="00A46DA0">
        <w:rPr>
          <w:rFonts w:ascii="Times New Roman" w:hAnsi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B120738" w:rsidR="00CC6F0B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401955">
        <w:rPr>
          <w:rFonts w:ascii="Times New Roman" w:hAnsi="Times New Roman"/>
          <w:sz w:val="28"/>
          <w:szCs w:val="28"/>
        </w:rPr>
        <w:t>;</w:t>
      </w:r>
    </w:p>
    <w:p w14:paraId="487EDAB1" w14:textId="0E4ACA75" w:rsidR="00401955" w:rsidRPr="00401955" w:rsidRDefault="00616D84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41B15">
        <w:rPr>
          <w:rFonts w:ascii="Times New Roman" w:hAnsi="Times New Roman"/>
          <w:sz w:val="28"/>
          <w:szCs w:val="28"/>
        </w:rPr>
        <w:t xml:space="preserve">3) целевых займов или грантов, предоставляемых государственными фондами развития промышленности в рамках </w:t>
      </w:r>
      <w:hyperlink r:id="rId23" w:history="1">
        <w:r w:rsidRPr="0020687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Закона Донецкой Народной Республики от 15 апреля 2022 года № 362-IIHC «Об особенностях оказания государственной финансовой поддержки субъектам деятельности в сфере промышленности»</w:t>
        </w:r>
      </w:hyperlink>
      <w:r w:rsidRPr="0064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определенном Правительством Донецкой Народной Республики.</w:t>
      </w:r>
    </w:p>
    <w:p w14:paraId="45989596" w14:textId="76500A3C" w:rsidR="00401955" w:rsidRPr="00401955" w:rsidRDefault="00401955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16D84">
        <w:rPr>
          <w:rFonts w:ascii="Times New Roman" w:hAnsi="Times New Roman"/>
          <w:i/>
          <w:iCs/>
          <w:sz w:val="28"/>
          <w:szCs w:val="28"/>
        </w:rPr>
        <w:t xml:space="preserve">(Пункт 3 части 1 статьи 24 введен </w:t>
      </w:r>
      <w:hyperlink r:id="rId24" w:history="1"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15.04.2022 № 362-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616D84">
        <w:rPr>
          <w:rFonts w:ascii="Times New Roman" w:hAnsi="Times New Roman"/>
          <w:i/>
          <w:iCs/>
          <w:sz w:val="28"/>
          <w:szCs w:val="28"/>
        </w:rPr>
        <w:t xml:space="preserve">, изложен в новой редакции в соответствии с </w:t>
      </w:r>
      <w:hyperlink r:id="rId25" w:history="1"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24.06.2022 № 385-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Pr="00616D84">
        <w:rPr>
          <w:rFonts w:ascii="Times New Roman" w:hAnsi="Times New Roman"/>
          <w:i/>
          <w:iCs/>
          <w:sz w:val="28"/>
          <w:szCs w:val="28"/>
        </w:rPr>
        <w:t>)</w:t>
      </w:r>
    </w:p>
    <w:p w14:paraId="4B955FEA" w14:textId="3F0C2D93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r w:rsidR="00CC1995" w:rsidRPr="00A46DA0">
        <w:rPr>
          <w:rFonts w:ascii="Times New Roman" w:hAnsi="Times New Roman"/>
          <w:sz w:val="28"/>
          <w:szCs w:val="28"/>
        </w:rPr>
        <w:t>Правительством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6A12F1EE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В случае если иное не предусмотрено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 xml:space="preserve">а также поместить в органах печати, в которых публикуются данные о государственной регистрации </w:t>
      </w:r>
      <w:r w:rsidR="00DC2D5C" w:rsidRPr="00A46DA0">
        <w:rPr>
          <w:rFonts w:ascii="Times New Roman" w:hAnsi="Times New Roman"/>
          <w:sz w:val="28"/>
          <w:szCs w:val="28"/>
        </w:rPr>
        <w:lastRenderedPageBreak/>
        <w:t>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48A888C2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22A37E46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hyperlink r:id="rId28" w:history="1">
        <w:r w:rsidR="00FA7A7B" w:rsidRPr="0006160E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35279780" w:rsidR="00522A7B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</w:t>
      </w:r>
      <w:r w:rsidR="00EA46C2" w:rsidRPr="00797CDE">
        <w:rPr>
          <w:rFonts w:ascii="Times New Roman" w:hAnsi="Times New Roman"/>
          <w:sz w:val="28"/>
          <w:szCs w:val="28"/>
        </w:rPr>
        <w:t xml:space="preserve">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="00EA46C2" w:rsidRPr="00AC6112">
        <w:rPr>
          <w:rFonts w:ascii="Times New Roman" w:hAnsi="Times New Roman"/>
          <w:sz w:val="28"/>
          <w:szCs w:val="28"/>
        </w:rPr>
        <w:t xml:space="preserve"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</w:t>
      </w:r>
      <w:r w:rsidR="00EA46C2" w:rsidRPr="00AC6112">
        <w:rPr>
          <w:rFonts w:ascii="Times New Roman" w:hAnsi="Times New Roman"/>
          <w:sz w:val="28"/>
          <w:szCs w:val="28"/>
        </w:rPr>
        <w:lastRenderedPageBreak/>
        <w:t>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4AEBD5C7" w14:textId="00123D1B" w:rsidR="00EA46C2" w:rsidRPr="00EA46C2" w:rsidRDefault="003302A1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9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Абзац первый части 1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38 изложен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61976284" w:rsidR="0082779D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</w:t>
      </w:r>
      <w:r w:rsidR="006D401C" w:rsidRPr="00AC6112">
        <w:rPr>
          <w:rFonts w:ascii="Times New Roman" w:hAnsi="Times New Roman"/>
          <w:sz w:val="28"/>
          <w:szCs w:val="28"/>
        </w:rPr>
        <w:t>трех лет</w:t>
      </w:r>
      <w:r w:rsidRPr="00A46DA0">
        <w:rPr>
          <w:rFonts w:ascii="Times New Roman" w:hAnsi="Times New Roman"/>
          <w:sz w:val="28"/>
          <w:szCs w:val="28"/>
        </w:rPr>
        <w:t xml:space="preserve"> со дня вступления в силу настоящего Закона</w:t>
      </w:r>
      <w:r w:rsidR="009B7A16" w:rsidRPr="009B7A16">
        <w:rPr>
          <w:rFonts w:ascii="Times New Roman" w:hAnsi="Times New Roman"/>
          <w:sz w:val="28"/>
          <w:szCs w:val="28"/>
          <w:lang w:bidi="ru-RU"/>
        </w:rPr>
        <w:t>, за исключением случая, установленного абзацем вторым настоящей части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31FD4B5D" w14:textId="77777777" w:rsidR="009B7A16" w:rsidRPr="009B7A16" w:rsidRDefault="009B7A16" w:rsidP="009B7A1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B7A16">
        <w:rPr>
          <w:rFonts w:ascii="Times New Roman" w:hAnsi="Times New Roman"/>
          <w:sz w:val="28"/>
          <w:szCs w:val="28"/>
          <w:lang w:bidi="ru-RU"/>
        </w:rPr>
        <w:t>По решению Правительства Донецкой Народной Республики дочерние предприятия, созданные государственными унитарными предприятиями до вступления в силу настоящего Закона (далее – дочерние предприятия), могут быть преобразованы в государственные унитарные предприятия в течение срока, установленного абзацем первым настоящей части. В решении Правительства Донецкой Народной Республики определяется порядок преобразования дочерних предприятий.</w:t>
      </w:r>
    </w:p>
    <w:p w14:paraId="1B7AF4CC" w14:textId="77777777" w:rsidR="009B7A16" w:rsidRPr="009B7A16" w:rsidRDefault="009B7A16" w:rsidP="009B7A1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B7A16">
        <w:rPr>
          <w:rFonts w:ascii="Times New Roman" w:hAnsi="Times New Roman"/>
          <w:sz w:val="28"/>
          <w:szCs w:val="28"/>
          <w:lang w:bidi="ru-RU"/>
        </w:rPr>
        <w:t>Положения части 6 статьи 8 настоящего Закона не распространяются на случаи преобразования дочерних предприятий в соответствии с настоящей частью.</w:t>
      </w:r>
    </w:p>
    <w:p w14:paraId="7B3542CB" w14:textId="0ECF2BCE" w:rsidR="006D401C" w:rsidRPr="006D401C" w:rsidRDefault="006D401C" w:rsidP="006D401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7A16">
        <w:rPr>
          <w:rFonts w:ascii="Times New Roman" w:hAnsi="Times New Roman"/>
          <w:i/>
          <w:sz w:val="28"/>
          <w:szCs w:val="28"/>
        </w:rPr>
        <w:t xml:space="preserve">(Часть 2 статьи 38 с изменениями, внесенными в соответствии с </w:t>
      </w:r>
      <w:r w:rsidR="009B7A16">
        <w:rPr>
          <w:rFonts w:ascii="Times New Roman" w:hAnsi="Times New Roman"/>
          <w:i/>
          <w:sz w:val="28"/>
          <w:szCs w:val="28"/>
        </w:rPr>
        <w:t>з</w:t>
      </w:r>
      <w:r w:rsidRPr="009B7A16">
        <w:rPr>
          <w:rFonts w:ascii="Times New Roman" w:hAnsi="Times New Roman"/>
          <w:i/>
          <w:sz w:val="28"/>
          <w:szCs w:val="28"/>
        </w:rPr>
        <w:t>акон</w:t>
      </w:r>
      <w:r w:rsidR="009B7A16">
        <w:rPr>
          <w:rFonts w:ascii="Times New Roman" w:hAnsi="Times New Roman"/>
          <w:i/>
          <w:sz w:val="28"/>
          <w:szCs w:val="28"/>
        </w:rPr>
        <w:t>ами</w:t>
      </w:r>
      <w:r w:rsidRPr="009B7A16">
        <w:rPr>
          <w:rFonts w:ascii="Times New Roman" w:hAnsi="Times New Roman"/>
          <w:i/>
          <w:sz w:val="28"/>
          <w:szCs w:val="28"/>
        </w:rPr>
        <w:t xml:space="preserve"> </w:t>
      </w:r>
      <w:hyperlink r:id="rId30" w:history="1">
        <w:r w:rsidRPr="00401B9E">
          <w:rPr>
            <w:rStyle w:val="a4"/>
            <w:rFonts w:ascii="Times New Roman" w:hAnsi="Times New Roman"/>
            <w:i/>
            <w:sz w:val="28"/>
            <w:szCs w:val="28"/>
          </w:rPr>
          <w:t>от 28.12.2020 №</w:t>
        </w:r>
        <w:r w:rsidR="009B7A16" w:rsidRPr="00401B9E">
          <w:rPr>
            <w:rStyle w:val="a4"/>
            <w:rFonts w:ascii="Times New Roman" w:hAnsi="Times New Roman"/>
            <w:i/>
            <w:sz w:val="28"/>
            <w:szCs w:val="28"/>
          </w:rPr>
          <w:t> </w:t>
        </w:r>
        <w:r w:rsidRPr="00401B9E">
          <w:rPr>
            <w:rStyle w:val="a4"/>
            <w:rFonts w:ascii="Times New Roman" w:hAnsi="Times New Roman"/>
            <w:i/>
            <w:sz w:val="28"/>
            <w:szCs w:val="28"/>
          </w:rPr>
          <w:t>234-IIНС</w:t>
        </w:r>
      </w:hyperlink>
      <w:r w:rsidR="009B7A16">
        <w:rPr>
          <w:rFonts w:ascii="Times New Roman" w:hAnsi="Times New Roman"/>
          <w:i/>
          <w:sz w:val="28"/>
          <w:szCs w:val="28"/>
        </w:rPr>
        <w:t xml:space="preserve">, </w:t>
      </w:r>
      <w:hyperlink r:id="rId31" w:history="1">
        <w:r w:rsidR="009B7A16" w:rsidRPr="009B7A16">
          <w:rPr>
            <w:rStyle w:val="a4"/>
            <w:rFonts w:ascii="Times New Roman" w:hAnsi="Times New Roman"/>
            <w:i/>
            <w:sz w:val="28"/>
            <w:szCs w:val="28"/>
          </w:rPr>
          <w:t>от 12.08.2022 № 402-</w:t>
        </w:r>
        <w:r w:rsidR="009B7A16" w:rsidRPr="009B7A1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9B7A16" w:rsidRPr="009B7A16">
          <w:rPr>
            <w:rStyle w:val="a4"/>
            <w:rFonts w:ascii="Times New Roman" w:hAnsi="Times New Roman"/>
            <w:i/>
            <w:sz w:val="28"/>
            <w:szCs w:val="28"/>
          </w:rPr>
          <w:t>НС</w:t>
        </w:r>
      </w:hyperlink>
      <w:r w:rsidRPr="009B7A16">
        <w:rPr>
          <w:rFonts w:ascii="Times New Roman" w:hAnsi="Times New Roman"/>
          <w:i/>
          <w:sz w:val="28"/>
          <w:szCs w:val="28"/>
        </w:rPr>
        <w:t>)</w:t>
      </w:r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мся на территории 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6F6498F3" w:rsidR="00951AA5" w:rsidRDefault="00951AA5" w:rsidP="005545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23D3CF99" w14:textId="556EB92C" w:rsidR="00D36875" w:rsidRDefault="00D36875" w:rsidP="005B1BB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CDE">
        <w:rPr>
          <w:rFonts w:ascii="Times New Roman" w:eastAsia="Calibri" w:hAnsi="Times New Roman"/>
          <w:sz w:val="28"/>
          <w:szCs w:val="28"/>
        </w:rPr>
        <w:t xml:space="preserve">6. До вступления в силу законов о соответствующих государственных </w:t>
      </w:r>
      <w:r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Pr="00EA3542">
        <w:rPr>
          <w:rFonts w:ascii="Times New Roman" w:eastAsia="Calibri" w:hAnsi="Times New Roman"/>
          <w:sz w:val="28"/>
          <w:szCs w:val="28"/>
        </w:rPr>
        <w:t>.</w:t>
      </w:r>
    </w:p>
    <w:p w14:paraId="6A66B1BC" w14:textId="4FD7CA7C" w:rsidR="00523841" w:rsidRDefault="003302A1" w:rsidP="005B1BB5">
      <w:pPr>
        <w:tabs>
          <w:tab w:val="left" w:pos="6120"/>
        </w:tabs>
        <w:spacing w:after="0"/>
        <w:ind w:firstLine="709"/>
        <w:jc w:val="both"/>
        <w:rPr>
          <w:rStyle w:val="a4"/>
          <w:rFonts w:ascii="Times New Roman" w:hAnsi="Times New Roman"/>
          <w:i/>
          <w:sz w:val="28"/>
          <w:szCs w:val="28"/>
        </w:rPr>
      </w:pPr>
      <w:hyperlink r:id="rId32" w:history="1"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>Часть 6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 xml:space="preserve">39 введена 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11E7E93" w14:textId="29EA89B9" w:rsidR="005B1BB5" w:rsidRDefault="005B1BB5" w:rsidP="005B1BB5">
      <w:pPr>
        <w:tabs>
          <w:tab w:val="left" w:pos="6120"/>
        </w:tabs>
        <w:spacing w:after="0"/>
        <w:ind w:firstLine="709"/>
        <w:jc w:val="both"/>
        <w:rPr>
          <w:rStyle w:val="a4"/>
          <w:rFonts w:ascii="Times New Roman" w:hAnsi="Times New Roman"/>
          <w:i/>
          <w:sz w:val="28"/>
          <w:szCs w:val="28"/>
        </w:rPr>
      </w:pPr>
    </w:p>
    <w:p w14:paraId="25B23A27" w14:textId="77777777" w:rsidR="005B1BB5" w:rsidRPr="00D36875" w:rsidRDefault="005B1BB5" w:rsidP="005B1BB5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31BF0728" w:rsidR="00BA0BEA" w:rsidRPr="00986F71" w:rsidRDefault="00240F81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99064" wp14:editId="431EEAA0">
            <wp:simplePos x="108585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BEA" w:rsidRPr="00986F71" w:rsidSect="00A46DA0">
      <w:headerReference w:type="default" r:id="rId34"/>
      <w:footerReference w:type="even" r:id="rId35"/>
      <w:foot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06DF" w14:textId="77777777" w:rsidR="003302A1" w:rsidRDefault="003302A1">
      <w:r>
        <w:separator/>
      </w:r>
    </w:p>
  </w:endnote>
  <w:endnote w:type="continuationSeparator" w:id="0">
    <w:p w14:paraId="2C6A22EF" w14:textId="77777777" w:rsidR="003302A1" w:rsidRDefault="003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17D2" w14:textId="77777777" w:rsidR="003302A1" w:rsidRDefault="003302A1">
      <w:r>
        <w:separator/>
      </w:r>
    </w:p>
  </w:footnote>
  <w:footnote w:type="continuationSeparator" w:id="0">
    <w:p w14:paraId="31B07AE4" w14:textId="77777777" w:rsidR="003302A1" w:rsidRDefault="003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2A1337F7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F332A4">
          <w:rPr>
            <w:rFonts w:ascii="Times New Roman" w:hAnsi="Times New Roman"/>
            <w:noProof/>
            <w:sz w:val="24"/>
            <w:szCs w:val="24"/>
          </w:rPr>
          <w:t>2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C95"/>
    <w:rsid w:val="00000FDC"/>
    <w:rsid w:val="00003B54"/>
    <w:rsid w:val="0000409E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5972"/>
    <w:rsid w:val="00045E29"/>
    <w:rsid w:val="00047588"/>
    <w:rsid w:val="00056C4D"/>
    <w:rsid w:val="0006160E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1AF4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557F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52F"/>
    <w:rsid w:val="002236ED"/>
    <w:rsid w:val="00223EB7"/>
    <w:rsid w:val="00236750"/>
    <w:rsid w:val="00240F81"/>
    <w:rsid w:val="002415A3"/>
    <w:rsid w:val="00243D86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7C1"/>
    <w:rsid w:val="00322917"/>
    <w:rsid w:val="0032578A"/>
    <w:rsid w:val="003265D5"/>
    <w:rsid w:val="0032796E"/>
    <w:rsid w:val="003302A1"/>
    <w:rsid w:val="00332596"/>
    <w:rsid w:val="00335A4D"/>
    <w:rsid w:val="0034034B"/>
    <w:rsid w:val="00340B7C"/>
    <w:rsid w:val="0034267F"/>
    <w:rsid w:val="00344DF0"/>
    <w:rsid w:val="00346C52"/>
    <w:rsid w:val="00350850"/>
    <w:rsid w:val="003531A7"/>
    <w:rsid w:val="0035680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6C35"/>
    <w:rsid w:val="003B1382"/>
    <w:rsid w:val="003B221E"/>
    <w:rsid w:val="003B35B1"/>
    <w:rsid w:val="003B3DA4"/>
    <w:rsid w:val="003B597A"/>
    <w:rsid w:val="003C0028"/>
    <w:rsid w:val="003C0BA9"/>
    <w:rsid w:val="003C0C45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1955"/>
    <w:rsid w:val="00401B9E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5AA"/>
    <w:rsid w:val="00437036"/>
    <w:rsid w:val="00437EA4"/>
    <w:rsid w:val="00441624"/>
    <w:rsid w:val="00442CED"/>
    <w:rsid w:val="00442F62"/>
    <w:rsid w:val="00444D2E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841"/>
    <w:rsid w:val="00523CC7"/>
    <w:rsid w:val="005251E8"/>
    <w:rsid w:val="00525C90"/>
    <w:rsid w:val="00527379"/>
    <w:rsid w:val="00536DFE"/>
    <w:rsid w:val="00542161"/>
    <w:rsid w:val="005460D7"/>
    <w:rsid w:val="005460F8"/>
    <w:rsid w:val="005501C8"/>
    <w:rsid w:val="0055443F"/>
    <w:rsid w:val="005545A1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0C58"/>
    <w:rsid w:val="005B1BB5"/>
    <w:rsid w:val="005B1CFE"/>
    <w:rsid w:val="005B2207"/>
    <w:rsid w:val="005B27FA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16D84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56BF"/>
    <w:rsid w:val="006862C4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09D0"/>
    <w:rsid w:val="006C2E05"/>
    <w:rsid w:val="006C3DD9"/>
    <w:rsid w:val="006C4040"/>
    <w:rsid w:val="006C529E"/>
    <w:rsid w:val="006C6486"/>
    <w:rsid w:val="006C7796"/>
    <w:rsid w:val="006D073F"/>
    <w:rsid w:val="006D30B8"/>
    <w:rsid w:val="006D401C"/>
    <w:rsid w:val="006D43D2"/>
    <w:rsid w:val="006D4F1E"/>
    <w:rsid w:val="006D7D6F"/>
    <w:rsid w:val="006E036B"/>
    <w:rsid w:val="006E13B6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80A"/>
    <w:rsid w:val="00724C3E"/>
    <w:rsid w:val="0072751D"/>
    <w:rsid w:val="007309BD"/>
    <w:rsid w:val="00733220"/>
    <w:rsid w:val="00733B14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0080"/>
    <w:rsid w:val="00761077"/>
    <w:rsid w:val="00765E3B"/>
    <w:rsid w:val="007753BB"/>
    <w:rsid w:val="00777948"/>
    <w:rsid w:val="00781BC2"/>
    <w:rsid w:val="00782F01"/>
    <w:rsid w:val="00784444"/>
    <w:rsid w:val="00786B5F"/>
    <w:rsid w:val="007958B6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08F0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4B6F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96"/>
    <w:rsid w:val="008B75B1"/>
    <w:rsid w:val="008B7A56"/>
    <w:rsid w:val="008C019E"/>
    <w:rsid w:val="008C01DA"/>
    <w:rsid w:val="008C0B3C"/>
    <w:rsid w:val="008C1A78"/>
    <w:rsid w:val="008C57AA"/>
    <w:rsid w:val="008C6547"/>
    <w:rsid w:val="008D3AF1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3BCA"/>
    <w:rsid w:val="009B0000"/>
    <w:rsid w:val="009B7A0F"/>
    <w:rsid w:val="009B7A16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3DD0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5D3B"/>
    <w:rsid w:val="00AE74F7"/>
    <w:rsid w:val="00AE7802"/>
    <w:rsid w:val="00AF2BC5"/>
    <w:rsid w:val="00AF3FE7"/>
    <w:rsid w:val="00AF7A14"/>
    <w:rsid w:val="00B03A21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C5D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0CB5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16239"/>
    <w:rsid w:val="00D17770"/>
    <w:rsid w:val="00D2080B"/>
    <w:rsid w:val="00D32BBE"/>
    <w:rsid w:val="00D36875"/>
    <w:rsid w:val="00D42B9C"/>
    <w:rsid w:val="00D46100"/>
    <w:rsid w:val="00D4736B"/>
    <w:rsid w:val="00D47A3B"/>
    <w:rsid w:val="00D47FFA"/>
    <w:rsid w:val="00D522E5"/>
    <w:rsid w:val="00D52A0A"/>
    <w:rsid w:val="00D52DED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46C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32A4"/>
    <w:rsid w:val="00F34838"/>
    <w:rsid w:val="00F37287"/>
    <w:rsid w:val="00F434C8"/>
    <w:rsid w:val="00F47563"/>
    <w:rsid w:val="00F5010F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6748F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01EC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010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6B33D192-901B-4F3C-8D50-02794C9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7C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09-27/418-iins-o-vnesenii-izmenenij-v-statyu-20-zakona-donetskoj-narodnoj-respubliki-o-gosudarstvennyh-i-munitsipalnyh-unitarnyh-predpriyatiyah.html" TargetMode="External"/><Relationship Id="rId18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6" Type="http://schemas.openxmlformats.org/officeDocument/2006/relationships/hyperlink" Target="http://npa.dnronline.su/2019-12-17/grazhdanskij-kodeks-donetskoj-narodnoj-respublik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19-12-17/grazhdanskij-kodeks-donetskoj-narodnoj-respubliki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08-25/402-iins-o-vnesenii-izmenenij-v-statyu-38-zakona-donetskoj-narodnoj-respubliki-o-gosudarstvennyh-i-munitsipalnyh-unitarnyh-predpriyatiyah.html" TargetMode="External"/><Relationship Id="rId17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5" Type="http://schemas.openxmlformats.org/officeDocument/2006/relationships/hyperlink" Target="http://npa.dnronline.su/2022-06-28/385-iins-o-vnesenii-izmenenij-v-nekotorye-zakony-donetskoj-narodnoj-respubliki.html" TargetMode="External"/><Relationship Id="rId33" Type="http://schemas.openxmlformats.org/officeDocument/2006/relationships/image" Target="media/image2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0" Type="http://schemas.openxmlformats.org/officeDocument/2006/relationships/hyperlink" Target="http://npa.dnronline.su/2022-09-27/418-iins-o-vnesenii-izmenenij-v-statyu-20-zakona-donetskoj-narodnoj-respubliki-o-gosudarstvennyh-i-munitsipalnyh-unitarnyh-predpriyatiyah.html" TargetMode="External"/><Relationship Id="rId2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06-28/385-iins-o-vnesenii-izmenenij-v-nekotorye-zakony-donetskoj-narodnoj-respubliki.html" TargetMode="External"/><Relationship Id="rId24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32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9-12-17/grazhdanskij-kodeks-donetskoj-narodnoj-respubliki.html" TargetMode="External"/><Relationship Id="rId23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28" Type="http://schemas.openxmlformats.org/officeDocument/2006/relationships/hyperlink" Target="http://npa.dnronline.su/2019-12-17/grazhdanskij-kodeks-donetskoj-narodnoj-respubliki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19" Type="http://schemas.openxmlformats.org/officeDocument/2006/relationships/hyperlink" Target="http://npa.dnronline.su/2022-09-27/418-iins-o-vnesenii-izmenenij-v-statyu-20-zakona-donetskoj-narodnoj-respubliki-o-gosudarstvennyh-i-munitsipalnyh-unitarnyh-predpriyatiyah.html" TargetMode="External"/><Relationship Id="rId31" Type="http://schemas.openxmlformats.org/officeDocument/2006/relationships/hyperlink" Target="http://npa.dnronline.su/2022-08-25/402-iins-o-vnesenii-izmenenij-v-statyu-38-zakona-donetskoj-narodnoj-respubliki-o-gosudarstvennyh-i-munitsipalnyh-unitarnyh-predpriyatiy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4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2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7" Type="http://schemas.openxmlformats.org/officeDocument/2006/relationships/hyperlink" Target="http://npa.dnronline.su/2019-12-17/grazhdanskij-kodeks-donetskoj-narodnoj-respubliki.html" TargetMode="External"/><Relationship Id="rId30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D4BC-7462-4DE4-BA62-6A3CC89C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10325</Words>
  <Characters>58854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VAD</cp:lastModifiedBy>
  <cp:revision>8</cp:revision>
  <cp:lastPrinted>2020-04-24T06:24:00Z</cp:lastPrinted>
  <dcterms:created xsi:type="dcterms:W3CDTF">2022-11-23T07:23:00Z</dcterms:created>
  <dcterms:modified xsi:type="dcterms:W3CDTF">2022-11-23T07:33:00Z</dcterms:modified>
</cp:coreProperties>
</file>