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128C" w14:textId="77777777" w:rsidR="00C10A0C" w:rsidRPr="00C10A0C" w:rsidRDefault="00C10A0C" w:rsidP="00C10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40" w:line="240" w:lineRule="auto"/>
        <w:ind w:right="-1" w:firstLine="142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C10A0C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5DA77A90" wp14:editId="7D15DC9F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7B65" w14:textId="77777777" w:rsidR="00C10A0C" w:rsidRPr="00C10A0C" w:rsidRDefault="00C10A0C" w:rsidP="00C10A0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 w:firstLine="142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C10A0C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61E7B951" w14:textId="77777777" w:rsidR="00C10A0C" w:rsidRPr="00C10A0C" w:rsidRDefault="00C10A0C" w:rsidP="00C10A0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C10A0C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11BD3A49" w14:textId="77777777" w:rsidR="00C10A0C" w:rsidRPr="00C10A0C" w:rsidRDefault="00C10A0C" w:rsidP="00C10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1BE8A" w14:textId="77777777" w:rsidR="00C10A0C" w:rsidRPr="00C10A0C" w:rsidRDefault="00C10A0C" w:rsidP="00C10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16B5E" w14:textId="52005E59" w:rsidR="006F1808" w:rsidRDefault="005F1ED7" w:rsidP="00FD16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>О СУБВЕНЦИЯХ</w:t>
      </w:r>
      <w:r w:rsidR="00342941">
        <w:rPr>
          <w:rFonts w:ascii="Times New Roman" w:eastAsia="MS Mincho" w:hAnsi="Times New Roman"/>
          <w:b/>
          <w:sz w:val="28"/>
          <w:szCs w:val="28"/>
          <w:lang w:eastAsia="ja-JP"/>
        </w:rPr>
        <w:t>,</w:t>
      </w:r>
      <w:r w:rsidR="006F1808"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  <w:r w:rsidR="00342941"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ПРЕДОСТАВЛЯЕМЫХ БЮДЖЕТАМ МУНИЦИПАЛЬНЫХ ОКРУГОВ, ГОРОДСКИХ ОКРУГОВ ИЗ БЮДЖЕТА ДОНЕЦКОЙ НАРОДНОЙ РЕСПУБЛИКИ </w:t>
      </w:r>
      <w:r w:rsidR="006F1808"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НА ОСУЩЕСТВЛЕНИЕ </w:t>
      </w:r>
      <w:r w:rsidR="00605919"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>ПОЛНОМОЧИЙ</w:t>
      </w:r>
      <w:r w:rsidR="006F483C"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РОССИЙСКОЙ ФЕДЕРАЦИИ</w:t>
      </w:r>
      <w:r w:rsidR="00605919"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ПО ПЕРВИЧНОМУ ВОИНСКОМУ УЧЕТУ </w:t>
      </w:r>
      <w:r w:rsidRPr="00342941">
        <w:rPr>
          <w:rFonts w:ascii="Times New Roman" w:eastAsia="MS Mincho" w:hAnsi="Times New Roman"/>
          <w:b/>
          <w:sz w:val="28"/>
          <w:szCs w:val="28"/>
          <w:lang w:eastAsia="ja-JP"/>
        </w:rPr>
        <w:t>ОРГАНАМИ МЕСТНОГО САМОУПРАВЛЕНИЯ МУНИЦИПАЛЬНЫХ ОКРУГОВ, ГОРОДСКИХ ОКРУГОВ</w:t>
      </w:r>
      <w:r w:rsidR="0030782B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</w:p>
    <w:p w14:paraId="0345A2F5" w14:textId="77777777" w:rsidR="00C10A0C" w:rsidRPr="00C10A0C" w:rsidRDefault="00C10A0C" w:rsidP="00C10A0C">
      <w:pPr>
        <w:widowControl w:val="0"/>
        <w:tabs>
          <w:tab w:val="left" w:pos="5245"/>
          <w:tab w:val="left" w:pos="538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95471" w14:textId="77777777" w:rsidR="00C10A0C" w:rsidRPr="00C10A0C" w:rsidRDefault="00C10A0C" w:rsidP="00C10A0C">
      <w:pPr>
        <w:widowControl w:val="0"/>
        <w:tabs>
          <w:tab w:val="left" w:pos="5245"/>
          <w:tab w:val="left" w:pos="538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938D0" w14:textId="77777777" w:rsidR="00C10A0C" w:rsidRPr="00C10A0C" w:rsidRDefault="00C10A0C" w:rsidP="00C10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C10A0C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C10A0C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ринят Постановлением Народного Совета 6 сентября 2024 года</w:t>
      </w:r>
      <w:bookmarkEnd w:id="0"/>
    </w:p>
    <w:p w14:paraId="4185522A" w14:textId="77777777" w:rsidR="00C10A0C" w:rsidRPr="00C10A0C" w:rsidRDefault="00C10A0C" w:rsidP="00C10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32ADDD7D" w14:textId="77777777" w:rsidR="00C10A0C" w:rsidRPr="00C10A0C" w:rsidRDefault="00C10A0C" w:rsidP="00C10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776B2C5E" w14:textId="77777777" w:rsidR="00DA0F42" w:rsidRDefault="00CA7761" w:rsidP="00DA0F42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941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75FCFFFC" w14:textId="55CDEF4C" w:rsidR="00DA0F42" w:rsidRDefault="006248CA" w:rsidP="00DA0F42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CA776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Субвенции бюджетам </w:t>
      </w:r>
      <w:r w:rsidR="0034294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округов, городских округов </w:t>
      </w:r>
      <w:r w:rsidR="00CA776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</w:t>
      </w:r>
      <w:r w:rsidR="00A64AF0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Российской Ф</w:t>
      </w:r>
      <w:r w:rsidR="00CA776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едерации по первичному воинскому учету органами местного самоуправления муниципальных округов, городских округов предоставляются из бюджета Донецкой Народной Республики в целях </w:t>
      </w:r>
      <w:r w:rsidR="00021AA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обеспечения расходов указанных муниципальных образований</w:t>
      </w:r>
      <w:r w:rsidR="00CA776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осуществление полномочий Российской Федерации по первичному воинскому учету органами местного самоуправления муниципальных округов, городских округов</w:t>
      </w:r>
      <w:r w:rsidR="00A22A72">
        <w:rPr>
          <w:rFonts w:ascii="Times New Roman" w:eastAsia="Times New Roman" w:hAnsi="Times New Roman" w:cs="Times New Roman"/>
          <w:color w:val="000000"/>
          <w:sz w:val="28"/>
          <w:szCs w:val="28"/>
        </w:rPr>
        <w:t>, на территориях</w:t>
      </w:r>
      <w:r w:rsidR="00BA1E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27AE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A2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</w:t>
      </w:r>
      <w:r w:rsidR="0030782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</w:t>
      </w:r>
      <w:r w:rsidR="005227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комиссариат</w:t>
      </w:r>
      <w:r w:rsidR="0052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</w:t>
      </w:r>
      <w:r w:rsidR="005227AE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</w:t>
      </w:r>
      <w:r w:rsidR="005227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776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AE7EB7" w14:textId="77777777" w:rsidR="00DA0F42" w:rsidRDefault="006248CA" w:rsidP="00DA0F42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C401A6" w:rsidRPr="002D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расходных обязательств органов местного самоуправления городских округов и муниципальных округов, возникающих при выполнении переданных полномочий по первичному воинскому </w:t>
      </w:r>
      <w:r w:rsidR="009F010A" w:rsidRPr="002D3FE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учету, осуществляется путем предоставления субвенции из бюджета Донецкой Народной Республики в пределах субвенции, предоставляемой бюджету Донецкой Народной Республики из федерального бюджета.</w:t>
      </w:r>
    </w:p>
    <w:p w14:paraId="231E0A72" w14:textId="77777777" w:rsidR="00DA0F42" w:rsidRDefault="006248CA" w:rsidP="00DA0F42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</w:t>
      </w:r>
      <w:r w:rsidR="009F010A" w:rsidRPr="002D3FE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субвенций бюджетам городских округов и муниципальных округов утверждается законом Донецкой Народной Республики о бюджете Донецкой Народной Республики на очередной финансовый год и плановый период.</w:t>
      </w:r>
    </w:p>
    <w:p w14:paraId="7058F315" w14:textId="77777777" w:rsidR="00DA0F42" w:rsidRDefault="00A03FB0" w:rsidP="00DA0F42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94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Статья </w:t>
      </w:r>
      <w:r w:rsidR="00B716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2</w:t>
      </w:r>
    </w:p>
    <w:p w14:paraId="3A3ABEDE" w14:textId="77777777" w:rsidR="00BA1E73" w:rsidRDefault="005227AE" w:rsidP="00BA1E7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7A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общего объема и методика распределения субвенций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D3F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 бюджетам муниципальных округов, городских округов из бюджета Донецкой Народной Республики на осуществление полномочий Российской Федерации по первичному воинскому учету органами местного самоуправления муниципальных округов, городских округов</w:t>
      </w:r>
      <w:r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территориях, где отсутствуют военные комиссариаты по </w:t>
      </w:r>
      <w:r w:rsidR="00BA1E73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</w:t>
      </w:r>
      <w:r w:rsidR="00BA1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BA1E73" w:rsidRPr="00BA1E7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согласно приложению к настоящему Закону</w:t>
      </w:r>
      <w:r w:rsidR="00BA1E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75EB7C" w14:textId="77777777" w:rsidR="00BA1E73" w:rsidRDefault="006A7829" w:rsidP="00BA1E7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FE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716E6" w:rsidRPr="002D3FE9">
        <w:rPr>
          <w:rFonts w:ascii="Times New Roman" w:hAnsi="Times New Roman" w:cs="Times New Roman"/>
          <w:b/>
          <w:sz w:val="28"/>
          <w:szCs w:val="28"/>
        </w:rPr>
        <w:t>3</w:t>
      </w:r>
      <w:r w:rsidRPr="002D3FE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14:paraId="18C8CA5E" w14:textId="2224A214" w:rsidR="006A7829" w:rsidRPr="00BA1E73" w:rsidRDefault="00401F98" w:rsidP="00BA1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FE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A1E73">
        <w:rPr>
          <w:rFonts w:ascii="Times New Roman" w:hAnsi="Times New Roman" w:cs="Times New Roman"/>
          <w:sz w:val="28"/>
          <w:szCs w:val="28"/>
        </w:rPr>
        <w:t>З</w:t>
      </w:r>
      <w:r w:rsidR="006A7829" w:rsidRPr="002D3FE9">
        <w:rPr>
          <w:rFonts w:ascii="Times New Roman" w:hAnsi="Times New Roman" w:cs="Times New Roman"/>
          <w:sz w:val="28"/>
          <w:szCs w:val="28"/>
        </w:rPr>
        <w:t>акон вступает в силу со дня его официального опубликования</w:t>
      </w:r>
      <w:r w:rsidR="00BF7900" w:rsidRPr="002D3FE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942814" w:rsidRPr="002D3FE9">
        <w:rPr>
          <w:rFonts w:ascii="Times New Roman" w:hAnsi="Times New Roman" w:cs="Times New Roman"/>
          <w:sz w:val="28"/>
          <w:szCs w:val="28"/>
        </w:rPr>
        <w:t>,</w:t>
      </w:r>
      <w:r w:rsidR="00BF7900" w:rsidRPr="002D3FE9">
        <w:rPr>
          <w:rFonts w:ascii="Times New Roman" w:hAnsi="Times New Roman" w:cs="Times New Roman"/>
          <w:sz w:val="28"/>
          <w:szCs w:val="28"/>
        </w:rPr>
        <w:t xml:space="preserve"> возникшие с 1 января 2024 года</w:t>
      </w:r>
      <w:r w:rsidR="006A7829" w:rsidRPr="002D3FE9">
        <w:rPr>
          <w:rFonts w:ascii="Times New Roman" w:hAnsi="Times New Roman" w:cs="Times New Roman"/>
          <w:sz w:val="28"/>
          <w:szCs w:val="28"/>
        </w:rPr>
        <w:t>.</w:t>
      </w:r>
      <w:r w:rsidR="008F147F" w:rsidRPr="00342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AF6D7" w14:textId="77777777" w:rsidR="00C10A0C" w:rsidRPr="00C10A0C" w:rsidRDefault="00C10A0C" w:rsidP="00C10A0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0C714A" w14:textId="77777777" w:rsidR="00C10A0C" w:rsidRPr="00C10A0C" w:rsidRDefault="00C10A0C" w:rsidP="00C10A0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32643" w14:textId="77777777" w:rsidR="00C10A0C" w:rsidRPr="00C10A0C" w:rsidRDefault="00C10A0C" w:rsidP="00C10A0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F8DE9" w14:textId="77777777" w:rsidR="00C10A0C" w:rsidRPr="00C10A0C" w:rsidRDefault="00C10A0C" w:rsidP="00C10A0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B41EFB" w14:textId="77777777" w:rsidR="00C10A0C" w:rsidRPr="00C10A0C" w:rsidRDefault="00C10A0C" w:rsidP="00C10A0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0C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3A153610" w14:textId="77777777" w:rsidR="00C10A0C" w:rsidRPr="00C10A0C" w:rsidRDefault="00C10A0C" w:rsidP="00C10A0C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0C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C10A0C">
        <w:rPr>
          <w:rFonts w:ascii="Times New Roman" w:eastAsia="Calibri" w:hAnsi="Times New Roman" w:cs="Times New Roman"/>
          <w:sz w:val="28"/>
          <w:szCs w:val="28"/>
        </w:rPr>
        <w:tab/>
      </w:r>
      <w:r w:rsidRPr="00C10A0C">
        <w:rPr>
          <w:rFonts w:ascii="Times New Roman" w:eastAsia="Calibri" w:hAnsi="Times New Roman" w:cs="Times New Roman"/>
          <w:sz w:val="28"/>
          <w:szCs w:val="28"/>
        </w:rPr>
        <w:tab/>
      </w:r>
      <w:r w:rsidRPr="00C10A0C">
        <w:rPr>
          <w:rFonts w:ascii="Times New Roman" w:eastAsia="Calibri" w:hAnsi="Times New Roman" w:cs="Times New Roman"/>
          <w:sz w:val="28"/>
          <w:szCs w:val="28"/>
        </w:rPr>
        <w:tab/>
      </w:r>
      <w:r w:rsidRPr="00C10A0C">
        <w:rPr>
          <w:rFonts w:ascii="Times New Roman" w:eastAsia="Calibri" w:hAnsi="Times New Roman" w:cs="Times New Roman"/>
          <w:sz w:val="28"/>
          <w:szCs w:val="28"/>
        </w:rPr>
        <w:tab/>
      </w:r>
      <w:r w:rsidRPr="00C10A0C">
        <w:rPr>
          <w:rFonts w:ascii="Times New Roman" w:eastAsia="Calibri" w:hAnsi="Times New Roman" w:cs="Times New Roman"/>
          <w:sz w:val="28"/>
          <w:szCs w:val="28"/>
        </w:rPr>
        <w:tab/>
      </w:r>
      <w:r w:rsidRPr="00C10A0C">
        <w:rPr>
          <w:rFonts w:ascii="Times New Roman" w:eastAsia="Calibri" w:hAnsi="Times New Roman" w:cs="Times New Roman"/>
          <w:sz w:val="28"/>
          <w:szCs w:val="28"/>
        </w:rPr>
        <w:tab/>
        <w:t xml:space="preserve">Д.В. </w:t>
      </w:r>
      <w:proofErr w:type="spellStart"/>
      <w:r w:rsidRPr="00C10A0C">
        <w:rPr>
          <w:rFonts w:ascii="Times New Roman" w:eastAsia="Calibri" w:hAnsi="Times New Roman" w:cs="Times New Roman"/>
          <w:sz w:val="28"/>
          <w:szCs w:val="28"/>
        </w:rPr>
        <w:t>Пушилин</w:t>
      </w:r>
      <w:proofErr w:type="spellEnd"/>
    </w:p>
    <w:p w14:paraId="5AC7C41A" w14:textId="77777777" w:rsidR="00C10A0C" w:rsidRPr="00C10A0C" w:rsidRDefault="00C10A0C" w:rsidP="00C10A0C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0C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3CBAED71" w14:textId="6020BA51" w:rsidR="00C10A0C" w:rsidRPr="007130BA" w:rsidRDefault="007130BA" w:rsidP="00C10A0C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3FB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</w:rPr>
        <w:t>сентября 2024 года</w:t>
      </w:r>
    </w:p>
    <w:p w14:paraId="6A33D347" w14:textId="74346D6D" w:rsidR="00C10A0C" w:rsidRPr="00C10A0C" w:rsidRDefault="00C10A0C" w:rsidP="00C10A0C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0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130BA">
        <w:rPr>
          <w:rFonts w:ascii="Times New Roman" w:eastAsia="Calibri" w:hAnsi="Times New Roman" w:cs="Times New Roman"/>
          <w:sz w:val="28"/>
          <w:szCs w:val="28"/>
        </w:rPr>
        <w:t>105-РЗ</w:t>
      </w:r>
    </w:p>
    <w:p w14:paraId="15C0451B" w14:textId="77777777" w:rsidR="00401F98" w:rsidRDefault="00401F98" w:rsidP="00401F98">
      <w:pPr>
        <w:spacing w:after="0"/>
        <w:ind w:left="5103" w:right="-1"/>
        <w:rPr>
          <w:rFonts w:ascii="Times New Roman" w:hAnsi="Times New Roman"/>
          <w:sz w:val="28"/>
        </w:rPr>
      </w:pPr>
    </w:p>
    <w:p w14:paraId="0C27D515" w14:textId="77777777" w:rsidR="003E2161" w:rsidRDefault="003E216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F2649E9" w14:textId="25F43673" w:rsidR="006A7829" w:rsidRPr="00401F98" w:rsidRDefault="00401F98" w:rsidP="00B26292">
      <w:pPr>
        <w:spacing w:after="0" w:line="276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B71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 w:rsidR="00B26292">
        <w:rPr>
          <w:rFonts w:ascii="Times New Roman" w:hAnsi="Times New Roman"/>
          <w:sz w:val="28"/>
        </w:rPr>
        <w:t>З</w:t>
      </w:r>
      <w:r w:rsidR="006A7829" w:rsidRPr="00342941">
        <w:rPr>
          <w:rFonts w:ascii="Times New Roman" w:hAnsi="Times New Roman"/>
          <w:sz w:val="28"/>
        </w:rPr>
        <w:t xml:space="preserve">акону </w:t>
      </w:r>
      <w:r w:rsidR="006A7829" w:rsidRPr="00342941">
        <w:rPr>
          <w:rFonts w:ascii="Times New Roman" w:hAnsi="Times New Roman"/>
          <w:sz w:val="28"/>
        </w:rPr>
        <w:br/>
        <w:t xml:space="preserve">Донецкой Народной Республики </w:t>
      </w:r>
      <w:r w:rsidR="006A7829" w:rsidRPr="00342941">
        <w:rPr>
          <w:rFonts w:ascii="Times New Roman" w:hAnsi="Times New Roman"/>
          <w:sz w:val="28"/>
        </w:rPr>
        <w:br/>
        <w:t xml:space="preserve">«О </w:t>
      </w:r>
      <w:r w:rsidR="005F1ED7" w:rsidRPr="00342941">
        <w:rPr>
          <w:rFonts w:ascii="Times New Roman" w:hAnsi="Times New Roman"/>
          <w:sz w:val="28"/>
        </w:rPr>
        <w:t>субвенциях</w:t>
      </w:r>
      <w:r w:rsidR="00342941">
        <w:rPr>
          <w:rFonts w:ascii="Times New Roman" w:hAnsi="Times New Roman"/>
          <w:sz w:val="28"/>
        </w:rPr>
        <w:t>,</w:t>
      </w:r>
      <w:r w:rsidR="005F1ED7" w:rsidRPr="00342941">
        <w:rPr>
          <w:rFonts w:ascii="Times New Roman" w:hAnsi="Times New Roman"/>
          <w:sz w:val="28"/>
        </w:rPr>
        <w:t xml:space="preserve"> </w:t>
      </w:r>
      <w:r w:rsidR="00342941" w:rsidRPr="00342941">
        <w:rPr>
          <w:rFonts w:ascii="Times New Roman" w:hAnsi="Times New Roman"/>
          <w:sz w:val="28"/>
        </w:rPr>
        <w:t xml:space="preserve">предоставляемых </w:t>
      </w:r>
      <w:r w:rsidR="002553FB">
        <w:rPr>
          <w:rFonts w:ascii="Times New Roman" w:hAnsi="Times New Roman"/>
          <w:sz w:val="28"/>
        </w:rPr>
        <w:br/>
      </w:r>
      <w:r w:rsidR="00342941" w:rsidRPr="00342941">
        <w:rPr>
          <w:rFonts w:ascii="Times New Roman" w:hAnsi="Times New Roman"/>
          <w:sz w:val="28"/>
        </w:rPr>
        <w:t>бюджетам муниципальных</w:t>
      </w:r>
      <w:r w:rsidR="00342941">
        <w:rPr>
          <w:rFonts w:ascii="Times New Roman" w:hAnsi="Times New Roman"/>
          <w:sz w:val="28"/>
        </w:rPr>
        <w:t xml:space="preserve"> </w:t>
      </w:r>
      <w:r w:rsidR="00342941" w:rsidRPr="00342941">
        <w:rPr>
          <w:rFonts w:ascii="Times New Roman" w:hAnsi="Times New Roman"/>
          <w:sz w:val="28"/>
        </w:rPr>
        <w:t xml:space="preserve">округов, </w:t>
      </w:r>
      <w:r w:rsidR="002553FB">
        <w:rPr>
          <w:rFonts w:ascii="Times New Roman" w:hAnsi="Times New Roman"/>
          <w:sz w:val="28"/>
        </w:rPr>
        <w:br/>
      </w:r>
      <w:r w:rsidR="00342941" w:rsidRPr="00342941">
        <w:rPr>
          <w:rFonts w:ascii="Times New Roman" w:hAnsi="Times New Roman"/>
          <w:sz w:val="28"/>
        </w:rPr>
        <w:t xml:space="preserve">городских округов из бюджета </w:t>
      </w:r>
      <w:r w:rsidR="002553FB">
        <w:rPr>
          <w:rFonts w:ascii="Times New Roman" w:hAnsi="Times New Roman"/>
          <w:sz w:val="28"/>
        </w:rPr>
        <w:br/>
      </w:r>
      <w:r w:rsidR="00342941">
        <w:rPr>
          <w:rFonts w:ascii="Times New Roman" w:hAnsi="Times New Roman"/>
          <w:sz w:val="28"/>
        </w:rPr>
        <w:t>Донецкой Н</w:t>
      </w:r>
      <w:r w:rsidR="00342941" w:rsidRPr="00342941">
        <w:rPr>
          <w:rFonts w:ascii="Times New Roman" w:hAnsi="Times New Roman"/>
          <w:sz w:val="28"/>
        </w:rPr>
        <w:t xml:space="preserve">ародной </w:t>
      </w:r>
      <w:r w:rsidR="00342941">
        <w:rPr>
          <w:rFonts w:ascii="Times New Roman" w:hAnsi="Times New Roman"/>
          <w:sz w:val="28"/>
        </w:rPr>
        <w:t>Р</w:t>
      </w:r>
      <w:r w:rsidR="00342941" w:rsidRPr="00342941">
        <w:rPr>
          <w:rFonts w:ascii="Times New Roman" w:hAnsi="Times New Roman"/>
          <w:sz w:val="28"/>
        </w:rPr>
        <w:t xml:space="preserve">еспублики </w:t>
      </w:r>
      <w:r w:rsidR="005F1ED7" w:rsidRPr="00342941">
        <w:rPr>
          <w:rFonts w:ascii="Times New Roman" w:hAnsi="Times New Roman"/>
          <w:sz w:val="28"/>
        </w:rPr>
        <w:t xml:space="preserve">на </w:t>
      </w:r>
      <w:r w:rsidR="002553FB">
        <w:rPr>
          <w:rFonts w:ascii="Times New Roman" w:hAnsi="Times New Roman"/>
          <w:sz w:val="28"/>
        </w:rPr>
        <w:br/>
      </w:r>
      <w:r w:rsidR="005F1ED7" w:rsidRPr="00342941">
        <w:rPr>
          <w:rFonts w:ascii="Times New Roman" w:hAnsi="Times New Roman"/>
          <w:sz w:val="28"/>
        </w:rPr>
        <w:t xml:space="preserve">осуществление полномочий </w:t>
      </w:r>
      <w:r w:rsidR="002553FB">
        <w:rPr>
          <w:rFonts w:ascii="Times New Roman" w:hAnsi="Times New Roman"/>
          <w:sz w:val="28"/>
        </w:rPr>
        <w:br/>
      </w:r>
      <w:r w:rsidR="005F1ED7" w:rsidRPr="00342941">
        <w:rPr>
          <w:rFonts w:ascii="Times New Roman" w:hAnsi="Times New Roman"/>
          <w:sz w:val="28"/>
        </w:rPr>
        <w:t xml:space="preserve">Российской Федерации по </w:t>
      </w:r>
      <w:r w:rsidR="002553FB">
        <w:rPr>
          <w:rFonts w:ascii="Times New Roman" w:hAnsi="Times New Roman"/>
          <w:sz w:val="28"/>
        </w:rPr>
        <w:br/>
      </w:r>
      <w:r w:rsidR="005F1ED7" w:rsidRPr="00342941">
        <w:rPr>
          <w:rFonts w:ascii="Times New Roman" w:hAnsi="Times New Roman"/>
          <w:sz w:val="28"/>
        </w:rPr>
        <w:t xml:space="preserve">первичному воинскому учету </w:t>
      </w:r>
      <w:r w:rsidR="002553FB">
        <w:rPr>
          <w:rFonts w:ascii="Times New Roman" w:hAnsi="Times New Roman"/>
          <w:sz w:val="28"/>
        </w:rPr>
        <w:br/>
      </w:r>
      <w:r w:rsidR="005F1ED7" w:rsidRPr="00342941">
        <w:rPr>
          <w:rFonts w:ascii="Times New Roman" w:hAnsi="Times New Roman"/>
          <w:sz w:val="28"/>
        </w:rPr>
        <w:t xml:space="preserve">органами местного самоуправления </w:t>
      </w:r>
      <w:r w:rsidR="002553FB">
        <w:rPr>
          <w:rFonts w:ascii="Times New Roman" w:hAnsi="Times New Roman"/>
          <w:sz w:val="28"/>
        </w:rPr>
        <w:br/>
      </w:r>
      <w:r w:rsidR="005F1ED7" w:rsidRPr="00342941">
        <w:rPr>
          <w:rFonts w:ascii="Times New Roman" w:hAnsi="Times New Roman"/>
          <w:sz w:val="28"/>
        </w:rPr>
        <w:t xml:space="preserve">муниципальных округов, городских </w:t>
      </w:r>
      <w:r w:rsidR="002553FB">
        <w:rPr>
          <w:rFonts w:ascii="Times New Roman" w:hAnsi="Times New Roman"/>
          <w:sz w:val="28"/>
        </w:rPr>
        <w:br/>
      </w:r>
      <w:r w:rsidR="005F1ED7" w:rsidRPr="00342941">
        <w:rPr>
          <w:rFonts w:ascii="Times New Roman" w:hAnsi="Times New Roman"/>
          <w:sz w:val="28"/>
        </w:rPr>
        <w:t>округов</w:t>
      </w:r>
      <w:r>
        <w:rPr>
          <w:rFonts w:ascii="Times New Roman" w:hAnsi="Times New Roman"/>
          <w:sz w:val="28"/>
        </w:rPr>
        <w:t>»</w:t>
      </w:r>
    </w:p>
    <w:p w14:paraId="6355D017" w14:textId="77777777" w:rsidR="00B26292" w:rsidRDefault="00B26292" w:rsidP="00B262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E4C72" w14:textId="77777777" w:rsidR="00B26292" w:rsidRDefault="00B26292" w:rsidP="00B262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EE7432" w14:textId="26845A67" w:rsidR="00161913" w:rsidRPr="002D3FE9" w:rsidRDefault="0022325A" w:rsidP="007418E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4C7AF9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173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ОБЩЕГО </w:t>
      </w:r>
      <w:r w:rsidR="00BF7900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ОБЪЕМА </w:t>
      </w:r>
      <w:r w:rsidR="00BB6173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  <w:r w:rsidR="00BE6F1A" w:rsidRPr="002D3FE9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 xml:space="preserve"> </w:t>
      </w:r>
      <w:r w:rsidR="002553FB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br/>
      </w:r>
      <w:r w:rsidR="00BE6F1A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РАСПРЕДЕЛЕНИЯ СУБВЕНЦИЙ</w:t>
      </w:r>
      <w:r w:rsidR="00B148C4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</w:t>
      </w:r>
      <w:r w:rsidR="00BE6F1A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ED7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БЮДЖЕТАМ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48C4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ОКРУГОВ, ГОРОДСКИХ ОКРУГОВ ИЗ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48C4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ДОНЕЦКОЙ НАРОДНОЙ РЕСПУБЛИКИ </w:t>
      </w:r>
      <w:r w:rsidR="005F1ED7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F1ED7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ОСУЩЕСТВЛЕНИЕ ПОЛНОМОЧИЙ РОССИЙСКОЙ ФЕДЕРАЦИИ ПО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F1ED7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ПЕРВИЧНОМУ ВОИНСКОМУ УЧЕТУ ОРГАНАМИ МЕСТНОГО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F1ED7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МУНИЦИПАЛЬНЫХ ОКРУГОВ, ГОРОДСКИХ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F1ED7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ОКРУГОВ</w:t>
      </w:r>
      <w:r w:rsidR="006E6D90" w:rsidRPr="002D3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26292" w:rsidRPr="00B2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ТЕРРИТОРИЯХ, ГДЕ ОТСУТСТВУЮТ ВОЕННЫЕ </w:t>
      </w:r>
      <w:r w:rsidR="002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26292" w:rsidRPr="00B2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КОМИССАРИАТЫ ПО ДОНЕЦКОЙ НАРОДНОЙ РЕСПУБЛИКЕ</w:t>
      </w:r>
    </w:p>
    <w:p w14:paraId="39C24820" w14:textId="5EE57F0D" w:rsidR="007418E0" w:rsidRDefault="007418E0" w:rsidP="007418E0">
      <w:pPr>
        <w:pStyle w:val="a3"/>
        <w:shd w:val="clear" w:color="auto" w:fill="FFFFFF"/>
        <w:spacing w:after="36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8C7CB" w14:textId="77777777" w:rsidR="007418E0" w:rsidRDefault="007418E0" w:rsidP="007418E0">
      <w:pPr>
        <w:pStyle w:val="a3"/>
        <w:shd w:val="clear" w:color="auto" w:fill="FFFFFF"/>
        <w:spacing w:after="36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C6215" w14:textId="3AE1497B" w:rsidR="00704873" w:rsidRPr="002D3FE9" w:rsidRDefault="00C46043" w:rsidP="007418E0">
      <w:pPr>
        <w:pStyle w:val="a3"/>
        <w:shd w:val="clear" w:color="auto" w:fill="FFFFFF"/>
        <w:spacing w:after="36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48C4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BF7900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B148C4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субвенций, предоставляемых бюджетам муниципальных округов, городских округов из бюджета Донецкой Народной Республики на осуществление полномочий Российской Федерации по первичному воинскому учету органами местного самоуправления муниципальных округов, городских округов</w:t>
      </w:r>
      <w:r w:rsidR="00B30C55" w:rsidRPr="002D3F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территориях, где отсутствуют военные комиссариаты по </w:t>
      </w:r>
      <w:r w:rsidR="0046771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</w:t>
      </w:r>
      <w:r w:rsidR="0046771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30C55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C4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 </w:t>
      </w:r>
      <w:r w:rsidR="00924A5E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B148C4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3F7B70C8" w14:textId="77777777" w:rsidR="00B53C70" w:rsidRPr="002D3FE9" w:rsidRDefault="00B53C70" w:rsidP="00B53C70">
      <w:pPr>
        <w:pStyle w:val="a3"/>
        <w:shd w:val="clear" w:color="auto" w:fill="FFFFFF"/>
        <w:spacing w:before="749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887C" w14:textId="77777777" w:rsidR="00B148C4" w:rsidRPr="002D3FE9" w:rsidRDefault="008F147F" w:rsidP="00DE0174">
      <w:pPr>
        <w:pStyle w:val="a3"/>
        <w:shd w:val="clear" w:color="auto" w:fill="FFFFFF"/>
        <w:spacing w:before="749"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суб=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i=l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суб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e>
        </m:nary>
      </m:oMath>
      <w:r w:rsidR="00704873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F5B0976" w14:textId="13BCE395" w:rsidR="00B53C70" w:rsidRPr="002D3FE9" w:rsidRDefault="00E0172D" w:rsidP="007418E0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2D3FE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</w:t>
      </w:r>
      <w:r w:rsidRPr="002D3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6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900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B53C70" w:rsidRPr="002D3FE9">
        <w:rPr>
          <w:rFonts w:ascii="Times New Roman" w:hAnsi="Times New Roman" w:cs="Times New Roman"/>
          <w:sz w:val="28"/>
          <w:szCs w:val="28"/>
        </w:rPr>
        <w:t>субвенции, предоставляемой бюджету і-</w:t>
      </w:r>
      <w:proofErr w:type="spellStart"/>
      <w:r w:rsidR="00B53C70" w:rsidRPr="002D3F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муниципального округа, і-</w:t>
      </w:r>
      <w:proofErr w:type="spellStart"/>
      <w:r w:rsidR="00B53C70" w:rsidRPr="002D3F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городского округа, из бюджета </w:t>
      </w:r>
      <w:r w:rsidR="00B53C70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Российской Федерации по первичному воинскому учету органами местного самоуправления муниципальных округов, городских </w:t>
      </w:r>
      <w:r w:rsidR="00B53C70" w:rsidRPr="002D3FE9">
        <w:rPr>
          <w:rFonts w:ascii="Times New Roman" w:hAnsi="Times New Roman" w:cs="Times New Roman"/>
          <w:sz w:val="28"/>
          <w:szCs w:val="28"/>
        </w:rPr>
        <w:lastRenderedPageBreak/>
        <w:t>округов</w:t>
      </w:r>
      <w:r w:rsidR="00B30C55" w:rsidRPr="002D3F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территориях, где отсутствуют военные комиссариаты по </w:t>
      </w:r>
      <w:r w:rsidR="0046771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</w:t>
      </w:r>
      <w:r w:rsidR="0046771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3C70" w:rsidRPr="002D3F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CE45A1" w14:textId="77777777" w:rsidR="00F6554D" w:rsidRDefault="00B53C70" w:rsidP="00F6554D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3FE9">
        <w:rPr>
          <w:rFonts w:ascii="Times New Roman" w:hAnsi="Times New Roman" w:cs="Times New Roman"/>
          <w:sz w:val="28"/>
          <w:szCs w:val="28"/>
        </w:rPr>
        <w:t xml:space="preserve"> – количество муниципальных округов, городских округов</w:t>
      </w:r>
      <w:r w:rsidR="00C401A6" w:rsidRPr="002D3FE9">
        <w:rPr>
          <w:rFonts w:ascii="Times New Roman" w:hAnsi="Times New Roman" w:cs="Times New Roman"/>
          <w:sz w:val="28"/>
          <w:szCs w:val="28"/>
        </w:rPr>
        <w:t>, в которых органы местного самоуправления реализуют государственные полномочия Российской Федерации по первичному воинскому учету.</w:t>
      </w:r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212AE" w14:textId="450060C6" w:rsidR="00B53C70" w:rsidRPr="002D3FE9" w:rsidRDefault="00C46043" w:rsidP="00F6554D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9">
        <w:rPr>
          <w:rFonts w:ascii="Times New Roman" w:hAnsi="Times New Roman" w:cs="Times New Roman"/>
          <w:sz w:val="28"/>
          <w:szCs w:val="28"/>
        </w:rPr>
        <w:t>2.</w:t>
      </w:r>
      <w:r w:rsidR="00F6554D">
        <w:rPr>
          <w:rFonts w:ascii="Times New Roman" w:hAnsi="Times New Roman" w:cs="Times New Roman"/>
          <w:sz w:val="28"/>
          <w:szCs w:val="28"/>
        </w:rPr>
        <w:t xml:space="preserve"> </w:t>
      </w:r>
      <w:r w:rsidR="00B30C55" w:rsidRPr="002D3FE9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B53C70" w:rsidRPr="002D3FE9">
        <w:rPr>
          <w:rFonts w:ascii="Times New Roman" w:hAnsi="Times New Roman" w:cs="Times New Roman"/>
          <w:sz w:val="28"/>
          <w:szCs w:val="28"/>
        </w:rPr>
        <w:t>субвенции, предоставляемой бюджету і-</w:t>
      </w:r>
      <w:proofErr w:type="spellStart"/>
      <w:r w:rsidR="00B53C70" w:rsidRPr="002D3F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муниципального округа, і-</w:t>
      </w:r>
      <w:proofErr w:type="spellStart"/>
      <w:r w:rsidR="00B53C70" w:rsidRPr="002D3F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городского округа, из бюджета </w:t>
      </w:r>
      <w:r w:rsidR="00B53C70" w:rsidRPr="002D3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Российской Федерации по первичному воинскому учету органами местного самоуправления муниципальных округов, городских округов (</w:t>
      </w:r>
      <w:r w:rsidR="00B53C70" w:rsidRPr="002D3FE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B53C70" w:rsidRPr="002D3FE9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="00B53C70"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53C70" w:rsidRPr="002D3FE9">
        <w:rPr>
          <w:rFonts w:ascii="Times New Roman" w:hAnsi="Times New Roman" w:cs="Times New Roman"/>
          <w:sz w:val="28"/>
          <w:szCs w:val="28"/>
        </w:rPr>
        <w:t xml:space="preserve">), определяется по следующей формуле: </w:t>
      </w:r>
    </w:p>
    <w:p w14:paraId="1C839181" w14:textId="77777777" w:rsidR="00B53C70" w:rsidRPr="002D3FE9" w:rsidRDefault="00B53C70" w:rsidP="00DE0174">
      <w:pPr>
        <w:pStyle w:val="a3"/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1B1BD" w14:textId="217A09BD" w:rsidR="00B53C70" w:rsidRPr="002D3FE9" w:rsidRDefault="00B53C70" w:rsidP="00F6554D">
      <w:pPr>
        <w:pStyle w:val="a3"/>
        <w:shd w:val="clear" w:color="auto" w:fill="FFFFFF"/>
        <w:spacing w:before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3FE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= (</w:t>
      </w:r>
      <w:r w:rsidRPr="002D3FE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освоб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+ </w:t>
      </w:r>
      <w:r w:rsidRPr="002D3FE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совм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х </w:t>
      </w:r>
      <w:r w:rsidRPr="002D3FE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D3FE9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>, где:</w:t>
      </w:r>
    </w:p>
    <w:p w14:paraId="6ABCA27C" w14:textId="77777777" w:rsidR="00B53C70" w:rsidRPr="002D3FE9" w:rsidRDefault="00B53C70" w:rsidP="00DE0174">
      <w:pPr>
        <w:pStyle w:val="a3"/>
        <w:shd w:val="clear" w:color="auto" w:fill="FFFFFF"/>
        <w:spacing w:before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1B24E94" w14:textId="16FDEF75" w:rsidR="00B53C70" w:rsidRPr="00F6554D" w:rsidRDefault="00B53C70" w:rsidP="00F6554D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4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6554D">
        <w:rPr>
          <w:rFonts w:ascii="Times New Roman" w:hAnsi="Times New Roman" w:cs="Times New Roman"/>
          <w:sz w:val="28"/>
          <w:szCs w:val="28"/>
          <w:vertAlign w:val="subscript"/>
        </w:rPr>
        <w:t>освоб</w:t>
      </w:r>
      <w:r w:rsidRPr="00F655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6554D">
        <w:rPr>
          <w:rFonts w:ascii="Times New Roman" w:hAnsi="Times New Roman" w:cs="Times New Roman"/>
          <w:sz w:val="28"/>
          <w:szCs w:val="28"/>
        </w:rPr>
        <w:t xml:space="preserve"> </w:t>
      </w:r>
      <w:r w:rsidR="00F6554D" w:rsidRPr="00F6554D">
        <w:rPr>
          <w:rFonts w:ascii="Times New Roman" w:hAnsi="Times New Roman" w:cs="Times New Roman"/>
          <w:sz w:val="28"/>
          <w:szCs w:val="28"/>
        </w:rPr>
        <w:t>–</w:t>
      </w:r>
      <w:r w:rsidRPr="00F6554D">
        <w:rPr>
          <w:rFonts w:ascii="Times New Roman" w:hAnsi="Times New Roman" w:cs="Times New Roman"/>
          <w:sz w:val="28"/>
          <w:szCs w:val="28"/>
        </w:rPr>
        <w:t xml:space="preserve"> количество освобожденных военно-учетных работников; </w:t>
      </w:r>
    </w:p>
    <w:p w14:paraId="43065D1A" w14:textId="77777777" w:rsidR="00F6554D" w:rsidRDefault="00B53C70" w:rsidP="00F6554D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4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6554D">
        <w:rPr>
          <w:rFonts w:ascii="Times New Roman" w:hAnsi="Times New Roman" w:cs="Times New Roman"/>
          <w:sz w:val="28"/>
          <w:szCs w:val="28"/>
          <w:vertAlign w:val="subscript"/>
        </w:rPr>
        <w:t>совм</w:t>
      </w:r>
      <w:r w:rsidRPr="00F655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6554D">
        <w:rPr>
          <w:rFonts w:ascii="Times New Roman" w:hAnsi="Times New Roman" w:cs="Times New Roman"/>
          <w:sz w:val="28"/>
          <w:szCs w:val="28"/>
        </w:rPr>
        <w:t xml:space="preserve"> </w:t>
      </w:r>
      <w:r w:rsidR="00F6554D" w:rsidRPr="00F6554D">
        <w:rPr>
          <w:rFonts w:ascii="Times New Roman" w:hAnsi="Times New Roman" w:cs="Times New Roman"/>
          <w:sz w:val="28"/>
          <w:szCs w:val="28"/>
        </w:rPr>
        <w:t>–</w:t>
      </w:r>
      <w:r w:rsidRPr="00F6554D">
        <w:rPr>
          <w:rFonts w:ascii="Times New Roman" w:hAnsi="Times New Roman" w:cs="Times New Roman"/>
          <w:sz w:val="28"/>
          <w:szCs w:val="28"/>
        </w:rPr>
        <w:t xml:space="preserve"> количество работников, осуществляющих работу по первичному воинскому учету в і-м муниципальном округе, і-м городском округе, по совместительству. </w:t>
      </w:r>
    </w:p>
    <w:p w14:paraId="0C0CADAF" w14:textId="0FCC8608" w:rsidR="008A4739" w:rsidRDefault="00B53C70" w:rsidP="008A4739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9">
        <w:rPr>
          <w:rFonts w:ascii="Times New Roman" w:hAnsi="Times New Roman" w:cs="Times New Roman"/>
          <w:sz w:val="28"/>
          <w:szCs w:val="28"/>
        </w:rPr>
        <w:t>Количество освобожденных военно-учетных работников (</w:t>
      </w:r>
      <w:r w:rsidRPr="002D3FE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освоб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) </w:t>
      </w:r>
      <w:r w:rsidR="00F6554D">
        <w:rPr>
          <w:rFonts w:ascii="Times New Roman" w:hAnsi="Times New Roman" w:cs="Times New Roman"/>
          <w:sz w:val="28"/>
          <w:szCs w:val="28"/>
        </w:rPr>
        <w:br/>
      </w:r>
      <w:r w:rsidRPr="002D3FE9">
        <w:rPr>
          <w:rFonts w:ascii="Times New Roman" w:hAnsi="Times New Roman" w:cs="Times New Roman"/>
          <w:sz w:val="28"/>
          <w:szCs w:val="28"/>
        </w:rPr>
        <w:t>и работников, осуществляющих работу по первичному воинскому учету в і-м муниципальном округе, і-м городском округе, по совместительству (</w:t>
      </w:r>
      <w:r w:rsidRPr="002D3FE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совм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), рассчитывается в соответствии с нормами, установленными </w:t>
      </w:r>
      <w:hyperlink r:id="rId8" w:history="1">
        <w:r w:rsidRPr="002553F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</w:t>
        </w:r>
        <w:r w:rsidR="002B6632" w:rsidRPr="002553FB">
          <w:rPr>
            <w:rStyle w:val="a4"/>
            <w:rFonts w:ascii="Times New Roman" w:hAnsi="Times New Roman" w:cs="Times New Roman"/>
            <w:sz w:val="28"/>
            <w:szCs w:val="28"/>
          </w:rPr>
          <w:t>и от 27 ноября 2006 г</w:t>
        </w:r>
        <w:r w:rsidR="00F6554D" w:rsidRPr="002553FB">
          <w:rPr>
            <w:rStyle w:val="a4"/>
            <w:rFonts w:ascii="Times New Roman" w:hAnsi="Times New Roman" w:cs="Times New Roman"/>
            <w:sz w:val="28"/>
            <w:szCs w:val="28"/>
          </w:rPr>
          <w:t>ода</w:t>
        </w:r>
        <w:r w:rsidRPr="002553FB">
          <w:rPr>
            <w:rStyle w:val="a4"/>
            <w:rFonts w:ascii="Times New Roman" w:hAnsi="Times New Roman" w:cs="Times New Roman"/>
            <w:sz w:val="28"/>
            <w:szCs w:val="28"/>
          </w:rPr>
          <w:t xml:space="preserve"> № 719 </w:t>
        </w:r>
        <w:r w:rsidR="00C46043" w:rsidRPr="002553FB">
          <w:rPr>
            <w:rStyle w:val="a4"/>
            <w:rFonts w:ascii="Times New Roman" w:hAnsi="Times New Roman" w:cs="Times New Roman"/>
            <w:sz w:val="28"/>
            <w:szCs w:val="28"/>
          </w:rPr>
          <w:br/>
        </w:r>
        <w:r w:rsidR="005C77A7" w:rsidRPr="002553FB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Pr="002553FB">
          <w:rPr>
            <w:rStyle w:val="a4"/>
            <w:rFonts w:ascii="Times New Roman" w:hAnsi="Times New Roman" w:cs="Times New Roman"/>
            <w:sz w:val="28"/>
            <w:szCs w:val="28"/>
          </w:rPr>
          <w:t>Об утверждени</w:t>
        </w:r>
        <w:r w:rsidR="005C77A7" w:rsidRPr="002553FB">
          <w:rPr>
            <w:rStyle w:val="a4"/>
            <w:rFonts w:ascii="Times New Roman" w:hAnsi="Times New Roman" w:cs="Times New Roman"/>
            <w:sz w:val="28"/>
            <w:szCs w:val="28"/>
          </w:rPr>
          <w:t>и Положения о воинском учете»</w:t>
        </w:r>
      </w:hyperlink>
      <w:r w:rsidR="005C77A7" w:rsidRPr="002D3FE9">
        <w:rPr>
          <w:rFonts w:ascii="Times New Roman" w:hAnsi="Times New Roman" w:cs="Times New Roman"/>
          <w:sz w:val="28"/>
          <w:szCs w:val="28"/>
        </w:rPr>
        <w:t xml:space="preserve"> на основании данных военного комиссариата Донецкой Народной Республики, представляемых </w:t>
      </w:r>
      <w:r w:rsidR="00F15DDC" w:rsidRPr="002D3FE9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8A4739">
        <w:rPr>
          <w:rFonts w:ascii="Times New Roman" w:hAnsi="Times New Roman" w:cs="Times New Roman"/>
          <w:sz w:val="28"/>
          <w:szCs w:val="28"/>
        </w:rPr>
        <w:t>Правительством</w:t>
      </w:r>
      <w:r w:rsidR="00F15DDC" w:rsidRPr="002D3FE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 w:rsidR="006A7765" w:rsidRPr="002D3FE9">
        <w:rPr>
          <w:rFonts w:ascii="Times New Roman" w:hAnsi="Times New Roman" w:cs="Times New Roman"/>
          <w:sz w:val="28"/>
          <w:szCs w:val="28"/>
        </w:rPr>
        <w:t>органу</w:t>
      </w:r>
      <w:r w:rsidR="006275BF" w:rsidRPr="002D3FE9">
        <w:rPr>
          <w:rFonts w:ascii="Times New Roman" w:hAnsi="Times New Roman" w:cs="Times New Roman"/>
          <w:sz w:val="28"/>
          <w:szCs w:val="28"/>
        </w:rPr>
        <w:t>, а также согласно пункту 5 Правил предоставления из федерального бюджета бюджетам субъектов Российской Федерации субвенций на осуществление полномочий по первичному воинскому учету органами местного самоуправления поселений, муниципальных и городских округов</w:t>
      </w:r>
      <w:r w:rsidR="008A4739">
        <w:rPr>
          <w:rFonts w:ascii="Times New Roman" w:hAnsi="Times New Roman" w:cs="Times New Roman"/>
          <w:sz w:val="28"/>
          <w:szCs w:val="28"/>
        </w:rPr>
        <w:t>,</w:t>
      </w:r>
      <w:r w:rsidR="006275BF" w:rsidRPr="002D3FE9">
        <w:rPr>
          <w:rFonts w:ascii="Times New Roman" w:hAnsi="Times New Roman" w:cs="Times New Roman"/>
          <w:sz w:val="28"/>
          <w:szCs w:val="28"/>
        </w:rPr>
        <w:t xml:space="preserve"> утв</w:t>
      </w:r>
      <w:r w:rsidR="00082617" w:rsidRPr="002D3FE9">
        <w:rPr>
          <w:rFonts w:ascii="Times New Roman" w:hAnsi="Times New Roman" w:cs="Times New Roman"/>
          <w:sz w:val="28"/>
          <w:szCs w:val="28"/>
        </w:rPr>
        <w:t xml:space="preserve">ержденных </w:t>
      </w:r>
      <w:hyperlink r:id="rId9" w:history="1">
        <w:r w:rsidR="00082617" w:rsidRPr="002553FB">
          <w:rPr>
            <w:rStyle w:val="a4"/>
            <w:rFonts w:ascii="Times New Roman" w:hAnsi="Times New Roman" w:cs="Times New Roman"/>
            <w:sz w:val="28"/>
            <w:szCs w:val="28"/>
          </w:rPr>
          <w:t>п</w:t>
        </w:r>
        <w:r w:rsidR="006275BF" w:rsidRPr="002553FB">
          <w:rPr>
            <w:rStyle w:val="a4"/>
            <w:rFonts w:ascii="Times New Roman" w:hAnsi="Times New Roman" w:cs="Times New Roman"/>
            <w:sz w:val="28"/>
            <w:szCs w:val="28"/>
          </w:rPr>
          <w:t xml:space="preserve">остановлением Правительства Российской Федерации </w:t>
        </w:r>
        <w:r w:rsidR="008A4739" w:rsidRPr="002553FB">
          <w:rPr>
            <w:rStyle w:val="a4"/>
            <w:rFonts w:ascii="Times New Roman" w:hAnsi="Times New Roman" w:cs="Times New Roman"/>
            <w:sz w:val="28"/>
            <w:szCs w:val="28"/>
          </w:rPr>
          <w:br/>
        </w:r>
        <w:r w:rsidR="006275BF" w:rsidRPr="002553FB">
          <w:rPr>
            <w:rStyle w:val="a4"/>
            <w:rFonts w:ascii="Times New Roman" w:hAnsi="Times New Roman" w:cs="Times New Roman"/>
            <w:sz w:val="28"/>
            <w:szCs w:val="28"/>
          </w:rPr>
          <w:t>от 29 апреля 2006 г</w:t>
        </w:r>
        <w:r w:rsidR="008A4739" w:rsidRPr="002553FB">
          <w:rPr>
            <w:rStyle w:val="a4"/>
            <w:rFonts w:ascii="Times New Roman" w:hAnsi="Times New Roman" w:cs="Times New Roman"/>
            <w:sz w:val="28"/>
            <w:szCs w:val="28"/>
          </w:rPr>
          <w:t>ода</w:t>
        </w:r>
        <w:r w:rsidR="006275BF" w:rsidRPr="002553FB">
          <w:rPr>
            <w:rStyle w:val="a4"/>
            <w:rFonts w:ascii="Times New Roman" w:hAnsi="Times New Roman" w:cs="Times New Roman"/>
            <w:sz w:val="28"/>
            <w:szCs w:val="28"/>
          </w:rPr>
          <w:t xml:space="preserve"> № 258 «О субвенциях</w:t>
        </w:r>
        <w:r w:rsidR="00270AC9" w:rsidRPr="002553FB">
          <w:rPr>
            <w:rStyle w:val="a4"/>
            <w:rFonts w:ascii="Times New Roman" w:hAnsi="Times New Roman" w:cs="Times New Roman"/>
            <w:sz w:val="28"/>
            <w:szCs w:val="28"/>
          </w:rPr>
          <w:t xml:space="preserve"> на осуществление полномочий по первичному воинскому учету органами местного самоуправления поселений, муниципальных и городских округов</w:t>
        </w:r>
        <w:r w:rsidR="00E06A74" w:rsidRPr="002553FB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8A4739">
        <w:rPr>
          <w:rFonts w:ascii="Times New Roman" w:hAnsi="Times New Roman" w:cs="Times New Roman"/>
          <w:sz w:val="28"/>
          <w:szCs w:val="28"/>
        </w:rPr>
        <w:t>,</w:t>
      </w:r>
      <w:r w:rsidR="006275BF" w:rsidRPr="002D3FE9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270AC9" w:rsidRPr="002D3FE9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="00E06A74" w:rsidRPr="002D3FE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E06A74" w:rsidRPr="002D3FE9">
        <w:rPr>
          <w:rFonts w:ascii="Times New Roman" w:hAnsi="Times New Roman" w:cs="Times New Roman"/>
          <w:sz w:val="28"/>
          <w:szCs w:val="28"/>
        </w:rPr>
        <w:lastRenderedPageBreak/>
        <w:t>состоящих на первичном воинском учете на соответствующих территориях по состоянию на 31 декабря года</w:t>
      </w:r>
      <w:r w:rsidR="008A4739">
        <w:rPr>
          <w:rFonts w:ascii="Times New Roman" w:hAnsi="Times New Roman" w:cs="Times New Roman"/>
          <w:sz w:val="28"/>
          <w:szCs w:val="28"/>
        </w:rPr>
        <w:t>,</w:t>
      </w:r>
      <w:r w:rsidR="00E06A74" w:rsidRPr="002D3FE9">
        <w:rPr>
          <w:rFonts w:ascii="Times New Roman" w:hAnsi="Times New Roman" w:cs="Times New Roman"/>
          <w:sz w:val="28"/>
          <w:szCs w:val="28"/>
        </w:rPr>
        <w:t xml:space="preserve"> предшествующего отчетному</w:t>
      </w:r>
      <w:r w:rsidR="005C77A7" w:rsidRPr="002D3FE9">
        <w:rPr>
          <w:rFonts w:ascii="Times New Roman" w:hAnsi="Times New Roman" w:cs="Times New Roman"/>
          <w:sz w:val="28"/>
          <w:szCs w:val="28"/>
        </w:rPr>
        <w:t>;</w:t>
      </w:r>
    </w:p>
    <w:p w14:paraId="1DD4EBD3" w14:textId="77777777" w:rsidR="00467711" w:rsidRDefault="00342941" w:rsidP="00467711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53C70"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8A4739">
        <w:rPr>
          <w:rFonts w:ascii="Times New Roman" w:hAnsi="Times New Roman" w:cs="Times New Roman"/>
          <w:sz w:val="28"/>
          <w:szCs w:val="28"/>
        </w:rPr>
        <w:t>–</w:t>
      </w:r>
      <w:r w:rsidR="00B53C70" w:rsidRPr="002D3FE9">
        <w:rPr>
          <w:rFonts w:ascii="Times New Roman" w:hAnsi="Times New Roman" w:cs="Times New Roman"/>
          <w:sz w:val="28"/>
          <w:szCs w:val="28"/>
        </w:rPr>
        <w:t xml:space="preserve"> коэффициент рабочего времени</w:t>
      </w:r>
      <w:r w:rsidR="005C77A7" w:rsidRPr="002D3FE9">
        <w:rPr>
          <w:rFonts w:ascii="Times New Roman" w:hAnsi="Times New Roman" w:cs="Times New Roman"/>
          <w:sz w:val="28"/>
          <w:szCs w:val="28"/>
        </w:rPr>
        <w:t>, равный 0,4;</w:t>
      </w:r>
      <w:r w:rsidR="008A1DDB" w:rsidRPr="002D3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6000B" w14:textId="5E608106" w:rsidR="00C46043" w:rsidRPr="00467711" w:rsidRDefault="00B53C70" w:rsidP="00467711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467711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затраты на содержание одного</w:t>
      </w:r>
      <w:r w:rsidR="008B4B66" w:rsidRPr="002D3FE9">
        <w:rPr>
          <w:rFonts w:ascii="Times New Roman" w:hAnsi="Times New Roman" w:cs="Times New Roman"/>
          <w:sz w:val="28"/>
          <w:szCs w:val="28"/>
        </w:rPr>
        <w:t xml:space="preserve"> военно-учетного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4D0AA7">
        <w:rPr>
          <w:rFonts w:ascii="Times New Roman" w:hAnsi="Times New Roman" w:cs="Times New Roman"/>
          <w:sz w:val="28"/>
          <w:szCs w:val="28"/>
        </w:rPr>
        <w:br/>
      </w:r>
      <w:r w:rsidRPr="002D3FE9">
        <w:rPr>
          <w:rFonts w:ascii="Times New Roman" w:hAnsi="Times New Roman" w:cs="Times New Roman"/>
          <w:sz w:val="28"/>
          <w:szCs w:val="28"/>
        </w:rPr>
        <w:t>в і-м муниципальном округе, і</w:t>
      </w:r>
      <w:r w:rsidR="008B4B66" w:rsidRPr="002D3FE9">
        <w:rPr>
          <w:rFonts w:ascii="Times New Roman" w:hAnsi="Times New Roman" w:cs="Times New Roman"/>
          <w:sz w:val="28"/>
          <w:szCs w:val="28"/>
        </w:rPr>
        <w:noBreakHyphen/>
      </w:r>
      <w:r w:rsidRPr="002D3FE9">
        <w:rPr>
          <w:rFonts w:ascii="Times New Roman" w:hAnsi="Times New Roman" w:cs="Times New Roman"/>
          <w:sz w:val="28"/>
          <w:szCs w:val="28"/>
        </w:rPr>
        <w:t>м городском округе</w:t>
      </w:r>
      <w:r w:rsidR="008B4B66" w:rsidRPr="002D3F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территориях, где отсутствуют военные комиссариаты по </w:t>
      </w:r>
      <w:r w:rsidR="00467711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</w:t>
      </w:r>
      <w:r w:rsidR="0046771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D3FE9">
        <w:rPr>
          <w:rFonts w:ascii="Times New Roman" w:hAnsi="Times New Roman" w:cs="Times New Roman"/>
          <w:sz w:val="28"/>
          <w:szCs w:val="28"/>
        </w:rPr>
        <w:t>, которые определяются по следующей формуле:</w:t>
      </w:r>
    </w:p>
    <w:p w14:paraId="773B4AEC" w14:textId="5400714F" w:rsidR="00FF620C" w:rsidRPr="002D3FE9" w:rsidRDefault="00B53C70" w:rsidP="00467711">
      <w:pPr>
        <w:shd w:val="clear" w:color="auto" w:fill="FFFFFF"/>
        <w:spacing w:after="3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="00D243A2" w:rsidRPr="002D3FE9">
        <w:rPr>
          <w:rFonts w:ascii="Times New Roman" w:hAnsi="Times New Roman" w:cs="Times New Roman"/>
          <w:sz w:val="28"/>
          <w:szCs w:val="28"/>
          <w:vertAlign w:val="subscript"/>
        </w:rPr>
        <w:t>фот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D243A2" w:rsidRPr="002D3FE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D243A2" w:rsidRPr="002D3FE9">
        <w:rPr>
          <w:rFonts w:ascii="Times New Roman" w:hAnsi="Times New Roman" w:cs="Times New Roman"/>
          <w:sz w:val="28"/>
          <w:szCs w:val="28"/>
        </w:rPr>
        <w:t>Ѕ</w:t>
      </w:r>
      <w:r w:rsidR="00D243A2" w:rsidRPr="002D3FE9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="00D243A2"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243A2"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Pr="002D3FE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>, где:</w:t>
      </w:r>
    </w:p>
    <w:p w14:paraId="0837C35B" w14:textId="3742BAB1" w:rsidR="00255A27" w:rsidRDefault="00B53C70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="00D243A2" w:rsidRPr="002D3FE9">
        <w:rPr>
          <w:rFonts w:ascii="Times New Roman" w:hAnsi="Times New Roman" w:cs="Times New Roman"/>
          <w:sz w:val="28"/>
          <w:szCs w:val="28"/>
          <w:vertAlign w:val="subscript"/>
        </w:rPr>
        <w:t>фот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расходы на оплату труда </w:t>
      </w:r>
      <w:r w:rsidR="008B4B66" w:rsidRPr="002D3FE9">
        <w:rPr>
          <w:rFonts w:ascii="Times New Roman" w:hAnsi="Times New Roman" w:cs="Times New Roman"/>
          <w:sz w:val="28"/>
          <w:szCs w:val="28"/>
        </w:rPr>
        <w:t xml:space="preserve">военно-учетного работника </w:t>
      </w:r>
      <w:r w:rsidR="004D0AA7">
        <w:rPr>
          <w:rFonts w:ascii="Times New Roman" w:hAnsi="Times New Roman" w:cs="Times New Roman"/>
          <w:sz w:val="28"/>
          <w:szCs w:val="28"/>
        </w:rPr>
        <w:br/>
      </w:r>
      <w:r w:rsidRPr="002D3FE9">
        <w:rPr>
          <w:rFonts w:ascii="Times New Roman" w:hAnsi="Times New Roman" w:cs="Times New Roman"/>
          <w:sz w:val="28"/>
          <w:szCs w:val="28"/>
        </w:rPr>
        <w:t>в і</w:t>
      </w:r>
      <w:r w:rsidR="008B4B66" w:rsidRPr="002D3FE9">
        <w:rPr>
          <w:rFonts w:ascii="Times New Roman" w:hAnsi="Times New Roman" w:cs="Times New Roman"/>
          <w:sz w:val="28"/>
          <w:szCs w:val="28"/>
        </w:rPr>
        <w:noBreakHyphen/>
      </w:r>
      <w:r w:rsidRPr="002D3FE9">
        <w:rPr>
          <w:rFonts w:ascii="Times New Roman" w:hAnsi="Times New Roman" w:cs="Times New Roman"/>
          <w:sz w:val="28"/>
          <w:szCs w:val="28"/>
        </w:rPr>
        <w:t>м муниципальном округе, і</w:t>
      </w:r>
      <w:r w:rsidR="008B4B66" w:rsidRPr="002D3FE9">
        <w:rPr>
          <w:rFonts w:ascii="Times New Roman" w:hAnsi="Times New Roman" w:cs="Times New Roman"/>
          <w:sz w:val="28"/>
          <w:szCs w:val="28"/>
        </w:rPr>
        <w:noBreakHyphen/>
      </w:r>
      <w:r w:rsidRPr="002D3FE9">
        <w:rPr>
          <w:rFonts w:ascii="Times New Roman" w:hAnsi="Times New Roman" w:cs="Times New Roman"/>
          <w:sz w:val="28"/>
          <w:szCs w:val="28"/>
        </w:rPr>
        <w:t>м городском округе</w:t>
      </w:r>
      <w:r w:rsidR="005109BC" w:rsidRPr="002D3FE9">
        <w:rPr>
          <w:rFonts w:ascii="Times New Roman" w:hAnsi="Times New Roman" w:cs="Times New Roman"/>
          <w:sz w:val="28"/>
          <w:szCs w:val="28"/>
        </w:rPr>
        <w:t>,</w:t>
      </w:r>
      <w:r w:rsidR="008B4B66" w:rsidRPr="002D3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территориях, где отсутствуют военные комиссариаты по </w:t>
      </w:r>
      <w:r w:rsidR="00255A27" w:rsidRPr="003429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</w:t>
      </w:r>
      <w:r w:rsidR="00255A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D3FE9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D243A2" w:rsidRPr="002D3FE9">
        <w:rPr>
          <w:rFonts w:ascii="Times New Roman" w:hAnsi="Times New Roman" w:cs="Times New Roman"/>
          <w:sz w:val="28"/>
          <w:szCs w:val="28"/>
        </w:rPr>
        <w:t xml:space="preserve">с учетом нормативов формирования расходов </w:t>
      </w:r>
      <w:r w:rsidR="00DF0414" w:rsidRPr="002D3FE9">
        <w:rPr>
          <w:rFonts w:ascii="Times New Roman" w:hAnsi="Times New Roman" w:cs="Times New Roman"/>
          <w:sz w:val="28"/>
          <w:szCs w:val="28"/>
        </w:rPr>
        <w:t>на содержание органов местного самоуправления и муниципальных служащих муниципальных образований Донецкой Народной Республики, утверждаемых Правительством Донецкой Народной Республики на соответствующий финансовый год</w:t>
      </w:r>
      <w:r w:rsidRPr="002D3FE9">
        <w:rPr>
          <w:rFonts w:ascii="Times New Roman" w:hAnsi="Times New Roman" w:cs="Times New Roman"/>
          <w:sz w:val="28"/>
          <w:szCs w:val="28"/>
        </w:rPr>
        <w:t>;</w:t>
      </w:r>
    </w:p>
    <w:p w14:paraId="370B7006" w14:textId="77777777" w:rsidR="00255A27" w:rsidRDefault="00D243A2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расходы на оплату начислений на фонд оплаты труда</w:t>
      </w:r>
      <w:r w:rsidR="00E06A74" w:rsidRPr="002D3FE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55A27">
        <w:rPr>
          <w:rFonts w:ascii="Times New Roman" w:hAnsi="Times New Roman" w:cs="Times New Roman"/>
          <w:sz w:val="28"/>
          <w:szCs w:val="28"/>
        </w:rPr>
        <w:t xml:space="preserve"> </w:t>
      </w:r>
      <w:r w:rsidR="00E06A74" w:rsidRPr="002D3FE9">
        <w:rPr>
          <w:rFonts w:ascii="Times New Roman" w:hAnsi="Times New Roman" w:cs="Times New Roman"/>
          <w:sz w:val="28"/>
          <w:szCs w:val="28"/>
        </w:rPr>
        <w:t>законодательству Российской Федерации</w:t>
      </w:r>
      <w:r w:rsidRPr="002D3FE9">
        <w:rPr>
          <w:rFonts w:ascii="Times New Roman" w:hAnsi="Times New Roman" w:cs="Times New Roman"/>
          <w:sz w:val="28"/>
          <w:szCs w:val="28"/>
        </w:rPr>
        <w:t>;</w:t>
      </w:r>
    </w:p>
    <w:p w14:paraId="663DA404" w14:textId="5294F1C2" w:rsidR="00FF620C" w:rsidRPr="002D3FE9" w:rsidRDefault="00B53C70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материальные затраты на содержание одного работника, осуществляющего первичный воинский учет в і-м муниципальном округе, і-м городском округе, на год, которые определяются по следующей формуле: </w:t>
      </w:r>
    </w:p>
    <w:p w14:paraId="65CA18F9" w14:textId="4CD57A22" w:rsidR="00DC1D05" w:rsidRPr="002D3FE9" w:rsidRDefault="00DC1D05" w:rsidP="00255A27">
      <w:pPr>
        <w:shd w:val="clear" w:color="auto" w:fill="FFFFFF"/>
        <w:spacing w:after="3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связь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трансп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команд</w:t>
      </w:r>
      <w:proofErr w:type="spellEnd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расх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proofErr w:type="spellEnd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обесп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>, где:</w:t>
      </w:r>
    </w:p>
    <w:p w14:paraId="152CFB66" w14:textId="0DF9045D" w:rsidR="00DC1D05" w:rsidRPr="002D3FE9" w:rsidRDefault="00DC1D05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расходы на оплату аренды помещений; </w:t>
      </w:r>
    </w:p>
    <w:p w14:paraId="79B543F4" w14:textId="0AB3CFBC" w:rsidR="00DC1D05" w:rsidRPr="002D3FE9" w:rsidRDefault="00DC1D05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связь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расходы на оплату услуг связи; </w:t>
      </w:r>
      <w:r w:rsidR="00255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CE7EB" w14:textId="26B3ACC0" w:rsidR="00DC1D05" w:rsidRPr="002D3FE9" w:rsidRDefault="00DC1D05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трансп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– расходы на оплату транспортных услуг;</w:t>
      </w:r>
      <w:r w:rsidR="00255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9FB03" w14:textId="1FD0C21E" w:rsidR="00DC1D05" w:rsidRPr="002D3FE9" w:rsidRDefault="00DC1D05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команд</w:t>
      </w:r>
      <w:proofErr w:type="spellEnd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расх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командировочные расходы; </w:t>
      </w:r>
    </w:p>
    <w:p w14:paraId="34FF775C" w14:textId="19F82A7E" w:rsidR="00DC1D05" w:rsidRPr="002D3FE9" w:rsidRDefault="00DC1D05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расходы на оплату коммунальных услуг; </w:t>
      </w:r>
      <w:r w:rsidR="00255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2D306" w14:textId="17886F6B" w:rsidR="00007355" w:rsidRPr="007A3919" w:rsidRDefault="00DC1D05" w:rsidP="00255A27">
      <w:pPr>
        <w:shd w:val="clear" w:color="auto" w:fill="FFFFFF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FE9">
        <w:rPr>
          <w:rFonts w:ascii="Times New Roman" w:hAnsi="Times New Roman" w:cs="Times New Roman"/>
          <w:sz w:val="28"/>
          <w:szCs w:val="28"/>
        </w:rPr>
        <w:lastRenderedPageBreak/>
        <w:t>Ѕ</w:t>
      </w:r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proofErr w:type="spellEnd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3FE9">
        <w:rPr>
          <w:rFonts w:ascii="Times New Roman" w:hAnsi="Times New Roman" w:cs="Times New Roman"/>
          <w:sz w:val="28"/>
          <w:szCs w:val="28"/>
          <w:vertAlign w:val="subscript"/>
        </w:rPr>
        <w:t>обесп</w:t>
      </w:r>
      <w:r w:rsidRPr="002D3F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3FE9">
        <w:rPr>
          <w:rFonts w:ascii="Times New Roman" w:hAnsi="Times New Roman" w:cs="Times New Roman"/>
          <w:sz w:val="28"/>
          <w:szCs w:val="28"/>
        </w:rPr>
        <w:t xml:space="preserve"> </w:t>
      </w:r>
      <w:r w:rsidR="00255A27">
        <w:rPr>
          <w:rFonts w:ascii="Times New Roman" w:hAnsi="Times New Roman" w:cs="Times New Roman"/>
          <w:sz w:val="28"/>
          <w:szCs w:val="28"/>
        </w:rPr>
        <w:t>–</w:t>
      </w:r>
      <w:r w:rsidRPr="002D3FE9">
        <w:rPr>
          <w:rFonts w:ascii="Times New Roman" w:hAnsi="Times New Roman" w:cs="Times New Roman"/>
          <w:sz w:val="28"/>
          <w:szCs w:val="28"/>
        </w:rPr>
        <w:t xml:space="preserve"> расходы на обеспечение мебелью, инвентарем, оргтехникой, средствами связи, расходными материалами.</w:t>
      </w:r>
      <w:r w:rsidR="008F147F">
        <w:rPr>
          <w:rFonts w:ascii="Times New Roman" w:hAnsi="Times New Roman" w:cs="Times New Roman"/>
          <w:sz w:val="28"/>
          <w:szCs w:val="28"/>
        </w:rPr>
        <w:tab/>
      </w:r>
      <w:r w:rsidR="008F147F">
        <w:rPr>
          <w:rFonts w:ascii="Times New Roman" w:hAnsi="Times New Roman" w:cs="Times New Roman"/>
          <w:sz w:val="28"/>
          <w:szCs w:val="28"/>
        </w:rPr>
        <w:tab/>
      </w:r>
      <w:r w:rsidR="008F147F">
        <w:rPr>
          <w:rFonts w:ascii="Times New Roman" w:hAnsi="Times New Roman" w:cs="Times New Roman"/>
          <w:sz w:val="28"/>
          <w:szCs w:val="28"/>
        </w:rPr>
        <w:tab/>
      </w:r>
    </w:p>
    <w:p w14:paraId="66B65569" w14:textId="08D03D95" w:rsidR="006A7829" w:rsidRDefault="006A7829" w:rsidP="006A7829">
      <w:pPr>
        <w:spacing w:after="3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743F0" w14:textId="492EDBA1" w:rsidR="002553FB" w:rsidRDefault="002553FB" w:rsidP="006A7829">
      <w:pPr>
        <w:spacing w:after="3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C93BF" w14:textId="75F556FA" w:rsidR="002553FB" w:rsidRDefault="002553FB" w:rsidP="006A7829">
      <w:pPr>
        <w:spacing w:after="3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6B2C6" w14:textId="77777777" w:rsidR="002553FB" w:rsidRPr="004F055E" w:rsidRDefault="002553FB" w:rsidP="006A7829">
      <w:pPr>
        <w:spacing w:after="3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553FB" w:rsidRPr="004F055E" w:rsidSect="00C10A0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055B" w14:textId="77777777" w:rsidR="00967A92" w:rsidRDefault="00967A92" w:rsidP="00C10A0C">
      <w:pPr>
        <w:spacing w:after="0" w:line="240" w:lineRule="auto"/>
      </w:pPr>
      <w:r>
        <w:separator/>
      </w:r>
    </w:p>
  </w:endnote>
  <w:endnote w:type="continuationSeparator" w:id="0">
    <w:p w14:paraId="0C4339F4" w14:textId="77777777" w:rsidR="00967A92" w:rsidRDefault="00967A92" w:rsidP="00C1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3B25" w14:textId="77777777" w:rsidR="00967A92" w:rsidRDefault="00967A92" w:rsidP="00C10A0C">
      <w:pPr>
        <w:spacing w:after="0" w:line="240" w:lineRule="auto"/>
      </w:pPr>
      <w:r>
        <w:separator/>
      </w:r>
    </w:p>
  </w:footnote>
  <w:footnote w:type="continuationSeparator" w:id="0">
    <w:p w14:paraId="40E55A49" w14:textId="77777777" w:rsidR="00967A92" w:rsidRDefault="00967A92" w:rsidP="00C1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270760"/>
      <w:docPartObj>
        <w:docPartGallery w:val="Page Numbers (Top of Page)"/>
        <w:docPartUnique/>
      </w:docPartObj>
    </w:sdtPr>
    <w:sdtEndPr/>
    <w:sdtContent>
      <w:p w14:paraId="27B0F973" w14:textId="0F41FCDC" w:rsidR="00C10A0C" w:rsidRDefault="00C10A0C">
        <w:pPr>
          <w:pStyle w:val="a9"/>
          <w:jc w:val="center"/>
        </w:pPr>
        <w:r w:rsidRPr="00C10A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A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A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3F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10A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CA720F" w14:textId="77777777" w:rsidR="00C10A0C" w:rsidRDefault="00C10A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82E"/>
    <w:multiLevelType w:val="multilevel"/>
    <w:tmpl w:val="BCEA0FEA"/>
    <w:lvl w:ilvl="0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2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5" w:hanging="2160"/>
      </w:pPr>
      <w:rPr>
        <w:rFonts w:hint="default"/>
      </w:rPr>
    </w:lvl>
  </w:abstractNum>
  <w:abstractNum w:abstractNumId="1" w15:restartNumberingAfterBreak="0">
    <w:nsid w:val="1B024C52"/>
    <w:multiLevelType w:val="hybridMultilevel"/>
    <w:tmpl w:val="A01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125C"/>
    <w:multiLevelType w:val="hybridMultilevel"/>
    <w:tmpl w:val="A01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7B00"/>
    <w:multiLevelType w:val="hybridMultilevel"/>
    <w:tmpl w:val="FA0EA9E0"/>
    <w:lvl w:ilvl="0" w:tplc="F356C6DA">
      <w:start w:val="1"/>
      <w:numFmt w:val="bullet"/>
      <w:lvlText w:val="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08"/>
    <w:rsid w:val="00007355"/>
    <w:rsid w:val="00021AAE"/>
    <w:rsid w:val="000408B7"/>
    <w:rsid w:val="00082617"/>
    <w:rsid w:val="00082EF7"/>
    <w:rsid w:val="00096B3C"/>
    <w:rsid w:val="000C5FA0"/>
    <w:rsid w:val="000E4784"/>
    <w:rsid w:val="00104972"/>
    <w:rsid w:val="00116DB1"/>
    <w:rsid w:val="0015580C"/>
    <w:rsid w:val="00161913"/>
    <w:rsid w:val="001A0F94"/>
    <w:rsid w:val="001D6825"/>
    <w:rsid w:val="001E340D"/>
    <w:rsid w:val="001E634C"/>
    <w:rsid w:val="00214FBC"/>
    <w:rsid w:val="00215691"/>
    <w:rsid w:val="0022325A"/>
    <w:rsid w:val="002553FB"/>
    <w:rsid w:val="00255A27"/>
    <w:rsid w:val="00270AC9"/>
    <w:rsid w:val="00282B5A"/>
    <w:rsid w:val="00291350"/>
    <w:rsid w:val="002B5B9D"/>
    <w:rsid w:val="002B6632"/>
    <w:rsid w:val="002D3FE9"/>
    <w:rsid w:val="0030782B"/>
    <w:rsid w:val="00317641"/>
    <w:rsid w:val="00342941"/>
    <w:rsid w:val="003E2161"/>
    <w:rsid w:val="00401F98"/>
    <w:rsid w:val="00467711"/>
    <w:rsid w:val="00467F9F"/>
    <w:rsid w:val="004C2EE9"/>
    <w:rsid w:val="004C7AF9"/>
    <w:rsid w:val="004D0AA7"/>
    <w:rsid w:val="004E5586"/>
    <w:rsid w:val="005109BC"/>
    <w:rsid w:val="005216C1"/>
    <w:rsid w:val="005227AE"/>
    <w:rsid w:val="0056509A"/>
    <w:rsid w:val="005A786A"/>
    <w:rsid w:val="005C77A7"/>
    <w:rsid w:val="005F1ED7"/>
    <w:rsid w:val="00605919"/>
    <w:rsid w:val="006248CA"/>
    <w:rsid w:val="006275BF"/>
    <w:rsid w:val="006777ED"/>
    <w:rsid w:val="006A1BFE"/>
    <w:rsid w:val="006A7765"/>
    <w:rsid w:val="006A7829"/>
    <w:rsid w:val="006B624B"/>
    <w:rsid w:val="006E6D90"/>
    <w:rsid w:val="006F1808"/>
    <w:rsid w:val="006F483C"/>
    <w:rsid w:val="006F5700"/>
    <w:rsid w:val="00704873"/>
    <w:rsid w:val="007130BA"/>
    <w:rsid w:val="00731FD8"/>
    <w:rsid w:val="007418E0"/>
    <w:rsid w:val="007A0F73"/>
    <w:rsid w:val="007A3919"/>
    <w:rsid w:val="007D79FE"/>
    <w:rsid w:val="008A1DDB"/>
    <w:rsid w:val="008A4739"/>
    <w:rsid w:val="008B4B66"/>
    <w:rsid w:val="008F147F"/>
    <w:rsid w:val="00923172"/>
    <w:rsid w:val="00924A5E"/>
    <w:rsid w:val="00942814"/>
    <w:rsid w:val="00967A92"/>
    <w:rsid w:val="009E58D6"/>
    <w:rsid w:val="009F010A"/>
    <w:rsid w:val="00A03FB0"/>
    <w:rsid w:val="00A22A72"/>
    <w:rsid w:val="00A541E3"/>
    <w:rsid w:val="00A64AF0"/>
    <w:rsid w:val="00A75475"/>
    <w:rsid w:val="00A80F7A"/>
    <w:rsid w:val="00AD19B1"/>
    <w:rsid w:val="00AD7248"/>
    <w:rsid w:val="00AF657B"/>
    <w:rsid w:val="00B148C4"/>
    <w:rsid w:val="00B26292"/>
    <w:rsid w:val="00B30C55"/>
    <w:rsid w:val="00B53C70"/>
    <w:rsid w:val="00B716E6"/>
    <w:rsid w:val="00BA1E73"/>
    <w:rsid w:val="00BB6173"/>
    <w:rsid w:val="00BE6F1A"/>
    <w:rsid w:val="00BF7900"/>
    <w:rsid w:val="00C10A0C"/>
    <w:rsid w:val="00C348E4"/>
    <w:rsid w:val="00C401A6"/>
    <w:rsid w:val="00C46043"/>
    <w:rsid w:val="00C92860"/>
    <w:rsid w:val="00CA7761"/>
    <w:rsid w:val="00D243A2"/>
    <w:rsid w:val="00D544E4"/>
    <w:rsid w:val="00DA0F42"/>
    <w:rsid w:val="00DC1D05"/>
    <w:rsid w:val="00DE0174"/>
    <w:rsid w:val="00DE350E"/>
    <w:rsid w:val="00DF0414"/>
    <w:rsid w:val="00E01536"/>
    <w:rsid w:val="00E0172D"/>
    <w:rsid w:val="00E06A74"/>
    <w:rsid w:val="00E342A0"/>
    <w:rsid w:val="00EF194C"/>
    <w:rsid w:val="00F057D9"/>
    <w:rsid w:val="00F15DDC"/>
    <w:rsid w:val="00F351EA"/>
    <w:rsid w:val="00F415D0"/>
    <w:rsid w:val="00F6554D"/>
    <w:rsid w:val="00FB0238"/>
    <w:rsid w:val="00FB33BF"/>
    <w:rsid w:val="00FC4730"/>
    <w:rsid w:val="00FD16C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EC7E"/>
  <w15:docId w15:val="{E2EE8B4F-394C-473D-B427-B8F00CD6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8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619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35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3176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1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4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1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A0C"/>
  </w:style>
  <w:style w:type="paragraph" w:styleId="ab">
    <w:name w:val="footer"/>
    <w:basedOn w:val="a"/>
    <w:link w:val="ac"/>
    <w:uiPriority w:val="99"/>
    <w:unhideWhenUsed/>
    <w:rsid w:val="00C1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5807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5968&amp;ysclid=m10fbibjs6350708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2024-08-22T08:37:00Z</cp:lastPrinted>
  <dcterms:created xsi:type="dcterms:W3CDTF">2024-09-13T07:50:00Z</dcterms:created>
  <dcterms:modified xsi:type="dcterms:W3CDTF">2024-09-13T07:57:00Z</dcterms:modified>
</cp:coreProperties>
</file>