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8E" w:rsidRDefault="000E092A">
      <w:pPr>
        <w:pStyle w:val="20"/>
        <w:shd w:val="clear" w:color="auto" w:fill="auto"/>
      </w:pPr>
      <w:r>
        <w:t>ДОНЕЦКАЯ НАРОДНАЯ РЕСПУБЛИКА</w:t>
      </w:r>
    </w:p>
    <w:p w:rsidR="000E508E" w:rsidRDefault="000E092A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ЗАКОН</w:t>
      </w:r>
      <w:bookmarkEnd w:id="0"/>
      <w:bookmarkEnd w:id="1"/>
    </w:p>
    <w:p w:rsidR="000E508E" w:rsidRDefault="000E092A">
      <w:pPr>
        <w:pStyle w:val="11"/>
        <w:shd w:val="clear" w:color="auto" w:fill="auto"/>
        <w:spacing w:after="720"/>
        <w:ind w:firstLine="0"/>
        <w:jc w:val="center"/>
      </w:pPr>
      <w:r>
        <w:rPr>
          <w:b/>
          <w:bCs/>
        </w:rPr>
        <w:t>О ВНЕСЕНИИ ИЗМЕНЕНИЙ В СТАТЬЮ 16 ЗАКОНА ДОНЕЦКОЙ</w:t>
      </w:r>
      <w:r>
        <w:rPr>
          <w:b/>
          <w:bCs/>
        </w:rPr>
        <w:br/>
        <w:t>НАРОДНОЙ РЕСПУБЛИКИ «О КОМИССИЯХ ПО ДЕЛАМ</w:t>
      </w:r>
      <w:r>
        <w:rPr>
          <w:b/>
          <w:bCs/>
        </w:rPr>
        <w:br/>
        <w:t>НЕСОВЕРШЕННОЛЕТНИХ И ЗАЩИТЕ ИХ ПРАВ В ДОНЕЦКОЙ</w:t>
      </w:r>
      <w:r>
        <w:rPr>
          <w:b/>
          <w:bCs/>
        </w:rPr>
        <w:br/>
        <w:t>НАРОДНОЙ РЕСПУБЛИКЕ»</w:t>
      </w:r>
    </w:p>
    <w:p w:rsidR="000E508E" w:rsidRDefault="000E092A">
      <w:pPr>
        <w:pStyle w:val="11"/>
        <w:shd w:val="clear" w:color="auto" w:fill="auto"/>
        <w:spacing w:after="580"/>
        <w:ind w:firstLine="720"/>
      </w:pPr>
      <w:r>
        <w:rPr>
          <w:b/>
          <w:bCs/>
        </w:rPr>
        <w:t>Принят Постановлением Народного Совета 27 сентября 2024 года</w:t>
      </w:r>
    </w:p>
    <w:p w:rsidR="000E508E" w:rsidRDefault="000E092A">
      <w:pPr>
        <w:pStyle w:val="11"/>
        <w:shd w:val="clear" w:color="auto" w:fill="auto"/>
        <w:spacing w:after="360"/>
        <w:ind w:firstLine="720"/>
      </w:pPr>
      <w:r>
        <w:rPr>
          <w:b/>
          <w:bCs/>
        </w:rPr>
        <w:t>Статья 1</w:t>
      </w:r>
    </w:p>
    <w:p w:rsidR="000E508E" w:rsidRDefault="000E092A">
      <w:pPr>
        <w:pStyle w:val="11"/>
        <w:shd w:val="clear" w:color="auto" w:fill="auto"/>
        <w:spacing w:after="360"/>
        <w:ind w:firstLine="720"/>
        <w:jc w:val="both"/>
      </w:pPr>
      <w:r>
        <w:t>Внести в статью 16</w:t>
      </w:r>
      <w:r w:rsidRPr="00872D06">
        <w:t xml:space="preserve"> </w:t>
      </w:r>
      <w:hyperlink r:id="rId7" w:history="1">
        <w:r w:rsidRPr="00872D06">
          <w:rPr>
            <w:rStyle w:val="a3"/>
          </w:rPr>
          <w:t>Закона Донецкой Народной Республики</w:t>
        </w:r>
        <w:r w:rsidRPr="00872D06">
          <w:rPr>
            <w:rStyle w:val="a3"/>
          </w:rPr>
          <w:t xml:space="preserve"> </w:t>
        </w:r>
        <w:r w:rsidRPr="00872D06">
          <w:rPr>
            <w:rStyle w:val="a3"/>
          </w:rPr>
          <w:t>от 9 сентября 2023 года № 480-</w:t>
        </w:r>
        <w:r w:rsidR="00872D06" w:rsidRPr="00872D06">
          <w:rPr>
            <w:rStyle w:val="a3"/>
            <w:lang w:val="en-US"/>
          </w:rPr>
          <w:t>II</w:t>
        </w:r>
        <w:r w:rsidRPr="00872D06">
          <w:rPr>
            <w:rStyle w:val="a3"/>
          </w:rPr>
          <w:t>НС «О комиссиях по делам несовершеннолетних</w:t>
        </w:r>
        <w:r w:rsidRPr="00872D06">
          <w:rPr>
            <w:rStyle w:val="a3"/>
          </w:rPr>
          <w:t xml:space="preserve"> </w:t>
        </w:r>
        <w:r w:rsidRPr="00872D06">
          <w:rPr>
            <w:rStyle w:val="a3"/>
          </w:rPr>
          <w:t>и защите их прав в Донецкой Народной Республике»</w:t>
        </w:r>
      </w:hyperlink>
      <w:r w:rsidRPr="00872D06">
        <w:t xml:space="preserve"> </w:t>
      </w:r>
      <w:r>
        <w:t>(опубликован на официальном сайте Главы Донецкой Народной Республики 11 сентября 2023 года) следующие изменения:</w:t>
      </w:r>
    </w:p>
    <w:p w:rsidR="000E508E" w:rsidRDefault="000E092A">
      <w:pPr>
        <w:pStyle w:val="11"/>
        <w:numPr>
          <w:ilvl w:val="0"/>
          <w:numId w:val="1"/>
        </w:numPr>
        <w:shd w:val="clear" w:color="auto" w:fill="auto"/>
        <w:tabs>
          <w:tab w:val="left" w:pos="1104"/>
        </w:tabs>
        <w:spacing w:after="360"/>
        <w:ind w:firstLine="720"/>
        <w:jc w:val="both"/>
      </w:pPr>
      <w:r>
        <w:t>часть 3 изложить в следующей редакции:</w:t>
      </w:r>
    </w:p>
    <w:p w:rsidR="000E508E" w:rsidRDefault="000E092A">
      <w:pPr>
        <w:pStyle w:val="11"/>
        <w:shd w:val="clear" w:color="auto" w:fill="auto"/>
        <w:spacing w:after="360"/>
        <w:ind w:firstLine="720"/>
        <w:jc w:val="both"/>
      </w:pPr>
      <w:r>
        <w:t xml:space="preserve">«3. </w:t>
      </w:r>
      <w:r>
        <w:t>Общий объем субвенций, передаваемых местным бюджетам из бюджета Донецкой Народной Республики на исполнение расходных обязательств муниципальных образований, возникающих при выполнении государственных полномочий, определяется в соответствии с Методикой расч</w:t>
      </w:r>
      <w:r>
        <w:t>ета годового объема финансовых средств, необходимых органам местного самоуправления для осуществления отдельных государственных полномочий Донецкой Народной Республики по созданию и организации деятельности муниципальных комиссий по делам несовершеннолетни</w:t>
      </w:r>
      <w:r>
        <w:t>х и защите их прав, являющейся приложением к настоящему Закону.»;</w:t>
      </w:r>
    </w:p>
    <w:p w:rsidR="000E508E" w:rsidRDefault="000E092A">
      <w:pPr>
        <w:pStyle w:val="11"/>
        <w:numPr>
          <w:ilvl w:val="0"/>
          <w:numId w:val="1"/>
        </w:numPr>
        <w:shd w:val="clear" w:color="auto" w:fill="auto"/>
        <w:tabs>
          <w:tab w:val="left" w:pos="1104"/>
        </w:tabs>
        <w:spacing w:after="360"/>
        <w:ind w:firstLine="720"/>
        <w:jc w:val="both"/>
      </w:pPr>
      <w:r>
        <w:t>часть 4 признать утратившей силу.</w:t>
      </w:r>
    </w:p>
    <w:p w:rsidR="000E508E" w:rsidRDefault="000E092A">
      <w:pPr>
        <w:pStyle w:val="11"/>
        <w:shd w:val="clear" w:color="auto" w:fill="auto"/>
        <w:spacing w:after="400" w:line="240" w:lineRule="auto"/>
        <w:ind w:firstLine="720"/>
      </w:pPr>
      <w:r>
        <w:rPr>
          <w:b/>
          <w:bCs/>
        </w:rPr>
        <w:t>Статья 2</w:t>
      </w:r>
    </w:p>
    <w:p w:rsidR="000E508E" w:rsidRDefault="000E092A">
      <w:pPr>
        <w:pStyle w:val="11"/>
        <w:shd w:val="clear" w:color="auto" w:fill="auto"/>
        <w:spacing w:after="1380" w:line="240" w:lineRule="auto"/>
        <w:ind w:firstLine="720"/>
      </w:pPr>
      <w:r>
        <w:t>Настоящий Закон вступает в силу со дня его официального опубликования.</w:t>
      </w:r>
    </w:p>
    <w:p w:rsidR="000E508E" w:rsidRDefault="000E092A">
      <w:pPr>
        <w:pStyle w:val="11"/>
        <w:shd w:val="clear" w:color="auto" w:fill="auto"/>
        <w:spacing w:after="0" w:line="240" w:lineRule="auto"/>
        <w:ind w:firstLine="0"/>
      </w:pPr>
      <w:r>
        <w:lastRenderedPageBreak/>
        <w:t>Глава</w:t>
      </w:r>
    </w:p>
    <w:p w:rsidR="000E508E" w:rsidRDefault="000E092A">
      <w:pPr>
        <w:pStyle w:val="11"/>
        <w:shd w:val="clear" w:color="auto" w:fill="auto"/>
        <w:tabs>
          <w:tab w:val="left" w:pos="7075"/>
        </w:tabs>
        <w:spacing w:after="120" w:line="240" w:lineRule="auto"/>
        <w:ind w:firstLine="0"/>
      </w:pPr>
      <w:r>
        <w:t>Донецкой Народной Республики</w:t>
      </w:r>
      <w:r w:rsidR="00872D06" w:rsidRPr="00872D06">
        <w:t xml:space="preserve">                                                       </w:t>
      </w:r>
      <w:r>
        <w:t>Д.В. Пушилин</w:t>
      </w:r>
    </w:p>
    <w:p w:rsidR="000E508E" w:rsidRDefault="000E092A">
      <w:pPr>
        <w:pStyle w:val="11"/>
        <w:shd w:val="clear" w:color="auto" w:fill="auto"/>
        <w:spacing w:after="120" w:line="240" w:lineRule="auto"/>
        <w:ind w:firstLine="0"/>
      </w:pPr>
      <w:r>
        <w:t>г. Донецк</w:t>
      </w:r>
    </w:p>
    <w:p w:rsidR="000E508E" w:rsidRDefault="000E092A">
      <w:pPr>
        <w:pStyle w:val="11"/>
        <w:shd w:val="clear" w:color="auto" w:fill="auto"/>
        <w:spacing w:after="120" w:line="240" w:lineRule="auto"/>
        <w:ind w:firstLine="0"/>
      </w:pPr>
      <w:r>
        <w:t xml:space="preserve">08 октября 2024 </w:t>
      </w:r>
      <w:r>
        <w:t>года</w:t>
      </w:r>
    </w:p>
    <w:p w:rsidR="000E508E" w:rsidRDefault="000E092A">
      <w:pPr>
        <w:pStyle w:val="11"/>
        <w:shd w:val="clear" w:color="auto" w:fill="auto"/>
        <w:spacing w:after="260" w:line="240" w:lineRule="auto"/>
        <w:ind w:firstLine="0"/>
      </w:pPr>
      <w:r>
        <w:t>№ 112-РЗ</w:t>
      </w:r>
    </w:p>
    <w:p w:rsidR="00872D06" w:rsidRDefault="00872D06">
      <w:pPr>
        <w:pStyle w:val="11"/>
        <w:shd w:val="clear" w:color="auto" w:fill="auto"/>
        <w:spacing w:after="260" w:line="240" w:lineRule="auto"/>
        <w:ind w:firstLine="0"/>
      </w:pPr>
    </w:p>
    <w:p w:rsidR="00872D06" w:rsidRDefault="00872D06">
      <w:pPr>
        <w:pStyle w:val="11"/>
        <w:shd w:val="clear" w:color="auto" w:fill="auto"/>
        <w:spacing w:after="260" w:line="240" w:lineRule="auto"/>
        <w:ind w:firstLine="0"/>
        <w:sectPr w:rsidR="00872D06">
          <w:pgSz w:w="11900" w:h="16840"/>
          <w:pgMar w:top="1134" w:right="519" w:bottom="1398" w:left="1652" w:header="0" w:footer="3" w:gutter="0"/>
          <w:cols w:space="720"/>
          <w:noEndnote/>
          <w:docGrid w:linePitch="360"/>
        </w:sectPr>
      </w:pPr>
    </w:p>
    <w:p w:rsidR="00306F8F" w:rsidRDefault="000E092A">
      <w:pPr>
        <w:pStyle w:val="11"/>
        <w:shd w:val="clear" w:color="auto" w:fill="auto"/>
        <w:spacing w:after="720" w:line="240" w:lineRule="auto"/>
        <w:ind w:left="5120" w:firstLine="0"/>
        <w:jc w:val="both"/>
      </w:pPr>
      <w:r>
        <w:lastRenderedPageBreak/>
        <w:t xml:space="preserve">Приложение </w:t>
      </w:r>
    </w:p>
    <w:p w:rsidR="000E508E" w:rsidRDefault="000E092A">
      <w:pPr>
        <w:pStyle w:val="11"/>
        <w:shd w:val="clear" w:color="auto" w:fill="auto"/>
        <w:spacing w:after="720" w:line="240" w:lineRule="auto"/>
        <w:ind w:left="5120" w:firstLine="0"/>
        <w:jc w:val="both"/>
      </w:pPr>
      <w:r>
        <w:t xml:space="preserve">к Закону Донецкой Народной </w:t>
      </w:r>
      <w:r w:rsidR="00306F8F">
        <w:br/>
      </w:r>
      <w:r>
        <w:t xml:space="preserve">Республики «О комиссиях по делам </w:t>
      </w:r>
      <w:r w:rsidR="00306F8F">
        <w:br/>
      </w:r>
      <w:r>
        <w:t xml:space="preserve">несовершеннолетних и защите </w:t>
      </w:r>
      <w:r w:rsidR="00306F8F">
        <w:br/>
      </w:r>
      <w:r>
        <w:t xml:space="preserve">их прав в Донецкой Народной </w:t>
      </w:r>
      <w:r w:rsidR="00306F8F">
        <w:br/>
      </w:r>
      <w:r>
        <w:t>Республике»</w:t>
      </w:r>
    </w:p>
    <w:p w:rsidR="000E508E" w:rsidRDefault="000E092A">
      <w:pPr>
        <w:pStyle w:val="11"/>
        <w:shd w:val="clear" w:color="auto" w:fill="auto"/>
        <w:spacing w:after="400" w:line="240" w:lineRule="auto"/>
        <w:ind w:firstLine="0"/>
        <w:jc w:val="center"/>
      </w:pPr>
      <w:r>
        <w:rPr>
          <w:b/>
          <w:bCs/>
        </w:rPr>
        <w:t>МЕТОДИКА</w:t>
      </w:r>
      <w:r>
        <w:rPr>
          <w:b/>
          <w:bCs/>
        </w:rPr>
        <w:br/>
        <w:t>расчета годового объема финансовых средств, необходимых органам</w:t>
      </w:r>
      <w:r>
        <w:rPr>
          <w:b/>
          <w:bCs/>
        </w:rPr>
        <w:br/>
        <w:t xml:space="preserve">местного </w:t>
      </w:r>
      <w:r>
        <w:rPr>
          <w:b/>
          <w:bCs/>
        </w:rPr>
        <w:t>самоуправления для осуществления отдельных государственных</w:t>
      </w:r>
      <w:r>
        <w:rPr>
          <w:b/>
          <w:bCs/>
        </w:rPr>
        <w:br/>
        <w:t>полномочий Донецкой Народной Республики по созданию и организации</w:t>
      </w:r>
      <w:r>
        <w:rPr>
          <w:b/>
          <w:bCs/>
        </w:rPr>
        <w:br/>
        <w:t>деятельности муниципальных комиссий по делам несовершеннолетних</w:t>
      </w:r>
      <w:r>
        <w:rPr>
          <w:b/>
          <w:bCs/>
        </w:rPr>
        <w:br/>
        <w:t>и защите их прав</w:t>
      </w:r>
    </w:p>
    <w:p w:rsidR="000E508E" w:rsidRDefault="000E092A">
      <w:pPr>
        <w:pStyle w:val="11"/>
        <w:numPr>
          <w:ilvl w:val="0"/>
          <w:numId w:val="2"/>
        </w:numPr>
        <w:shd w:val="clear" w:color="auto" w:fill="auto"/>
        <w:tabs>
          <w:tab w:val="left" w:pos="1033"/>
        </w:tabs>
        <w:spacing w:after="300"/>
        <w:ind w:firstLine="720"/>
        <w:jc w:val="both"/>
      </w:pPr>
      <w:r>
        <w:t>Общий объем субвенций (годовой объем финансовых ср</w:t>
      </w:r>
      <w:r>
        <w:t xml:space="preserve">едств), необходимых органам местного самоуправления для осуществления отдельных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 на очередной </w:t>
      </w:r>
      <w:r>
        <w:t>финансовый год, является суммой годового объема финансовых средств, необходимых каждому органу местного самоуправления, осуществляющему отдельные государственные полномочия Донецкой Народной Республики по созданию и организации деятельности муниципальных к</w:t>
      </w:r>
      <w:r>
        <w:t>омиссий по делам несовершеннолетних и защите их прав, и определяется по формуле:</w:t>
      </w:r>
    </w:p>
    <w:p w:rsidR="00306F8F" w:rsidRDefault="00306F8F" w:rsidP="00306F8F">
      <w:pPr>
        <w:pStyle w:val="11"/>
        <w:shd w:val="clear" w:color="auto" w:fill="auto"/>
        <w:tabs>
          <w:tab w:val="left" w:pos="1033"/>
        </w:tabs>
        <w:spacing w:after="300"/>
        <w:jc w:val="both"/>
      </w:pPr>
    </w:p>
    <w:p w:rsidR="00306F8F" w:rsidRPr="00086737" w:rsidRDefault="00086737" w:rsidP="00306F8F">
      <w:pPr>
        <w:pStyle w:val="11"/>
        <w:shd w:val="clear" w:color="auto" w:fill="auto"/>
        <w:tabs>
          <w:tab w:val="left" w:pos="1033"/>
        </w:tabs>
        <w:spacing w:after="300"/>
        <w:jc w:val="both"/>
        <w:rPr>
          <w:lang w:val="en-US"/>
        </w:rPr>
      </w:pPr>
      <w:r>
        <w:rPr>
          <w:noProof/>
          <w:lang w:bidi="ar-SA"/>
        </w:rPr>
        <w:drawing>
          <wp:inline distT="0" distB="0" distL="0" distR="0" wp14:anchorId="6D5CB3E9" wp14:editId="568A0DBA">
            <wp:extent cx="1485714" cy="780952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714" cy="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306F8F" w:rsidRPr="00086737" w:rsidRDefault="00306F8F" w:rsidP="00306F8F">
      <w:pPr>
        <w:pStyle w:val="11"/>
        <w:shd w:val="clear" w:color="auto" w:fill="auto"/>
        <w:tabs>
          <w:tab w:val="left" w:pos="1033"/>
        </w:tabs>
        <w:spacing w:after="300"/>
        <w:jc w:val="both"/>
        <w:rPr>
          <w:lang w:val="en-US"/>
        </w:rPr>
      </w:pPr>
    </w:p>
    <w:p w:rsidR="000E508E" w:rsidRDefault="000E092A">
      <w:pPr>
        <w:pStyle w:val="11"/>
        <w:shd w:val="clear" w:color="auto" w:fill="auto"/>
        <w:spacing w:after="360"/>
        <w:ind w:firstLine="720"/>
        <w:jc w:val="both"/>
      </w:pPr>
      <w:r>
        <w:t>Н - общий объем субвенций (годовой объем финансовых средств), необходимых органам местного самоуправления для осуществления отдельных государственных полномочий Донецкой Народ</w:t>
      </w:r>
      <w:r>
        <w:t>ной Республики по созданию и организации деятельности муниципальных комиссий по делам несовершеннолетних и защите их прав на очередной финансовый год;</w:t>
      </w:r>
    </w:p>
    <w:p w:rsidR="000E508E" w:rsidRDefault="000E092A">
      <w:pPr>
        <w:pStyle w:val="11"/>
        <w:shd w:val="clear" w:color="auto" w:fill="auto"/>
        <w:ind w:firstLine="720"/>
        <w:jc w:val="both"/>
      </w:pPr>
      <w:r>
        <w:lastRenderedPageBreak/>
        <w:t>Н</w:t>
      </w:r>
      <w:r w:rsidR="00306F8F">
        <w:rPr>
          <w:lang w:val="en-US"/>
        </w:rPr>
        <w:t>i</w:t>
      </w:r>
      <w:r>
        <w:t xml:space="preserve"> - годовой объем финансовых средств, необходимых одному органу местного самоуправления для осуществления отдельных государственных полномочий Донецкой Народной Республики по созданию и организации деятельности муниципальных комиссий по делам несовершеннол</w:t>
      </w:r>
      <w:r>
        <w:t>етних и защите их прав на очередной финансовый год;</w:t>
      </w:r>
    </w:p>
    <w:p w:rsidR="000E508E" w:rsidRDefault="000E092A">
      <w:pPr>
        <w:pStyle w:val="11"/>
        <w:shd w:val="clear" w:color="auto" w:fill="auto"/>
        <w:ind w:firstLine="720"/>
        <w:jc w:val="both"/>
      </w:pPr>
      <w:r>
        <w:rPr>
          <w:lang w:val="en-US" w:eastAsia="en-US" w:bidi="en-US"/>
        </w:rPr>
        <w:t>n</w:t>
      </w:r>
      <w:r w:rsidRPr="00901F77">
        <w:rPr>
          <w:lang w:eastAsia="en-US" w:bidi="en-US"/>
        </w:rPr>
        <w:t xml:space="preserve"> </w:t>
      </w:r>
      <w:r>
        <w:t>- количество органов местного самоуправления, осуществляющих отдельные государственные полномочия Донецкой Народной Республики по созданию и организации деятельности муниципальных комиссий по делам несо</w:t>
      </w:r>
      <w:r>
        <w:t>вершеннолетних и защите их прав.</w:t>
      </w:r>
    </w:p>
    <w:p w:rsidR="000E508E" w:rsidRDefault="000E092A">
      <w:pPr>
        <w:pStyle w:val="11"/>
        <w:numPr>
          <w:ilvl w:val="0"/>
          <w:numId w:val="2"/>
        </w:numPr>
        <w:shd w:val="clear" w:color="auto" w:fill="auto"/>
        <w:tabs>
          <w:tab w:val="left" w:pos="1028"/>
        </w:tabs>
        <w:ind w:firstLine="720"/>
        <w:jc w:val="both"/>
      </w:pPr>
      <w:r>
        <w:t>Годовой объем финансовых средств, необходимых одному органу местного самоуправления для осуществления отдельных государственных полномочий Донецкой Народной Республики по созданию и организации деятельности муниципальных ко</w:t>
      </w:r>
      <w:r>
        <w:t>миссий по делам несовершеннолетних и защите их прав на очередной финансовый год, исчисляется по каждому органу местного самоуправления, осуществляющему отдельные государственные полномочия Донецкой Народной Республики по созданию и организации деятельности</w:t>
      </w:r>
      <w:r>
        <w:t xml:space="preserve"> муниципальных комиссий по делам несовершеннолетних и защите их прав, и определяется по формуле:</w:t>
      </w:r>
    </w:p>
    <w:p w:rsidR="000E508E" w:rsidRDefault="00306F8F">
      <w:pPr>
        <w:pStyle w:val="11"/>
        <w:shd w:val="clear" w:color="auto" w:fill="auto"/>
        <w:ind w:firstLine="0"/>
        <w:jc w:val="center"/>
      </w:pPr>
      <w:r>
        <w:rPr>
          <w:lang w:val="en-US" w:eastAsia="en-US" w:bidi="en-US"/>
        </w:rPr>
        <w:t>H</w:t>
      </w:r>
      <w:r w:rsidR="000E092A">
        <w:rPr>
          <w:lang w:val="en-US" w:eastAsia="en-US" w:bidi="en-US"/>
        </w:rPr>
        <w:t>i</w:t>
      </w:r>
      <w:r w:rsidR="000E092A" w:rsidRPr="00901F77">
        <w:rPr>
          <w:lang w:eastAsia="en-US" w:bidi="en-US"/>
        </w:rPr>
        <w:t xml:space="preserve"> </w:t>
      </w:r>
      <w:r w:rsidR="000E092A">
        <w:t>= ФОТ</w:t>
      </w:r>
      <w:r>
        <w:rPr>
          <w:lang w:val="en-US"/>
        </w:rPr>
        <w:t>i</w:t>
      </w:r>
      <w:r w:rsidRPr="00306F8F">
        <w:t xml:space="preserve"> </w:t>
      </w:r>
      <w:r w:rsidR="000E092A">
        <w:t xml:space="preserve"> + </w:t>
      </w:r>
      <w:r w:rsidR="000E092A">
        <w:rPr>
          <w:lang w:val="en-US" w:eastAsia="en-US" w:bidi="en-US"/>
        </w:rPr>
        <w:t>Ni</w:t>
      </w:r>
      <w:r w:rsidR="000E092A" w:rsidRPr="00901F77">
        <w:rPr>
          <w:lang w:eastAsia="en-US" w:bidi="en-US"/>
        </w:rPr>
        <w:t xml:space="preserve">, </w:t>
      </w:r>
      <w:r w:rsidR="000E092A">
        <w:t>где:</w:t>
      </w:r>
    </w:p>
    <w:p w:rsidR="000E508E" w:rsidRDefault="000E092A">
      <w:pPr>
        <w:pStyle w:val="11"/>
        <w:shd w:val="clear" w:color="auto" w:fill="auto"/>
        <w:ind w:firstLine="720"/>
        <w:jc w:val="both"/>
      </w:pPr>
      <w:r>
        <w:t>ФОТ</w:t>
      </w:r>
      <w:r w:rsidR="00306F8F">
        <w:rPr>
          <w:lang w:val="en-US"/>
        </w:rPr>
        <w:t>i</w:t>
      </w:r>
      <w:r>
        <w:t xml:space="preserve"> - фонд оплаты труда муниципальных служащих одного органа местного самоуправления, осуществляющего отдельные государственные полномо</w:t>
      </w:r>
      <w:r>
        <w:t>чия Донецкой Народной Республики по созданию и организации деятельности муниципальных комиссий по делам несовершеннолетних и защите их прав, в расчете на год;</w:t>
      </w:r>
    </w:p>
    <w:p w:rsidR="000E508E" w:rsidRDefault="000E092A">
      <w:pPr>
        <w:pStyle w:val="11"/>
        <w:shd w:val="clear" w:color="auto" w:fill="auto"/>
        <w:ind w:firstLine="720"/>
        <w:jc w:val="both"/>
      </w:pPr>
      <w:r>
        <w:rPr>
          <w:lang w:val="en-US" w:eastAsia="en-US" w:bidi="en-US"/>
        </w:rPr>
        <w:t>Ni</w:t>
      </w:r>
      <w:r w:rsidRPr="00901F77">
        <w:rPr>
          <w:lang w:eastAsia="en-US" w:bidi="en-US"/>
        </w:rPr>
        <w:t xml:space="preserve"> </w:t>
      </w:r>
      <w:r>
        <w:t>- материальные затраты на обеспечение деятельности одного органа местного самоуправления, осущ</w:t>
      </w:r>
      <w:r>
        <w:t>ествляющего отдельные государственные полномочия Донецкой Народной Республики по созданию и организации деятельности муниципальных комиссий по делам несовершеннолетних и защите их прав, исчисляемые в размере 20 процентов от фонда оплаты труда муниципальных</w:t>
      </w:r>
      <w:r>
        <w:t xml:space="preserve"> служащих одного органа местного самоуправления, осуществляющего отдельные государственные полномочия Донецкой Народной Республики по созданию и организации деятельности муниципальных комиссий по делам несовершеннолетних и защите их прав, в расчете на год </w:t>
      </w:r>
      <w:r>
        <w:t>(далее - материальные затраты).</w:t>
      </w:r>
    </w:p>
    <w:p w:rsidR="000E508E" w:rsidRDefault="000E092A">
      <w:pPr>
        <w:pStyle w:val="11"/>
        <w:shd w:val="clear" w:color="auto" w:fill="auto"/>
        <w:ind w:firstLine="720"/>
        <w:jc w:val="both"/>
      </w:pPr>
      <w:r>
        <w:lastRenderedPageBreak/>
        <w:t>Материальные затраты включают расходы на оплату услуг связи, в том числе услуг доступа к информационно-телекоммуникационной сети «Интернет», транспортных и коммунальных услуг, аренду имущества, оплату работ и услуг по содерж</w:t>
      </w:r>
      <w:r>
        <w:t>анию имущества, оплату командировочных расходов муниципальных служащих и расходов, связанных с повышением их квалификации, а также расходы на приобретение объектов основных средств, канцелярских товаров, расходных материалов для оргтехники, моющих средств,</w:t>
      </w:r>
      <w:r>
        <w:t xml:space="preserve"> хозяйственного инвентаря, программного обеспечения и иные расходы.</w:t>
      </w:r>
    </w:p>
    <w:p w:rsidR="000E508E" w:rsidRDefault="000E092A">
      <w:pPr>
        <w:pStyle w:val="11"/>
        <w:numPr>
          <w:ilvl w:val="0"/>
          <w:numId w:val="2"/>
        </w:numPr>
        <w:shd w:val="clear" w:color="auto" w:fill="auto"/>
        <w:tabs>
          <w:tab w:val="left" w:pos="1028"/>
        </w:tabs>
        <w:ind w:firstLine="720"/>
        <w:jc w:val="both"/>
      </w:pPr>
      <w:r>
        <w:t xml:space="preserve">Фонд оплаты труда муниципальных служащих одного органа местного самоуправления, осуществляющего отдельные государственные полномочия Донецкой Народной Республики по созданию и организации </w:t>
      </w:r>
      <w:r>
        <w:t>деятельности муниципальных комиссий по делам несовершеннолетних и защите их прав, определяется по формуле:</w:t>
      </w:r>
    </w:p>
    <w:p w:rsidR="000E508E" w:rsidRDefault="000E092A">
      <w:pPr>
        <w:pStyle w:val="11"/>
        <w:shd w:val="clear" w:color="auto" w:fill="auto"/>
        <w:ind w:firstLine="0"/>
        <w:jc w:val="center"/>
      </w:pPr>
      <w:r>
        <w:t>ФОТ</w:t>
      </w:r>
      <w:r w:rsidR="00306F8F">
        <w:rPr>
          <w:lang w:val="en-US"/>
        </w:rPr>
        <w:t>i</w:t>
      </w:r>
      <w:r>
        <w:t xml:space="preserve"> = </w:t>
      </w:r>
      <w:r>
        <w:rPr>
          <w:lang w:val="en-US" w:eastAsia="en-US" w:bidi="en-US"/>
        </w:rPr>
        <w:t>Ai</w:t>
      </w:r>
      <w:r w:rsidR="00306F8F">
        <w:rPr>
          <w:lang w:val="en-US" w:eastAsia="en-US" w:bidi="en-US"/>
        </w:rPr>
        <w:t xml:space="preserve"> </w:t>
      </w:r>
      <w:r w:rsidRPr="00901F77">
        <w:rPr>
          <w:lang w:eastAsia="en-US" w:bidi="en-US"/>
        </w:rPr>
        <w:t>*</w:t>
      </w:r>
      <w:r w:rsidR="00306F8F">
        <w:rPr>
          <w:lang w:val="en-US" w:eastAsia="en-US" w:bidi="en-US"/>
        </w:rPr>
        <w:t xml:space="preserve"> </w:t>
      </w:r>
      <w:r w:rsidRPr="00901F77">
        <w:rPr>
          <w:lang w:eastAsia="en-US" w:bidi="en-US"/>
        </w:rPr>
        <w:t>(</w:t>
      </w:r>
      <w:r>
        <w:rPr>
          <w:lang w:val="en-US" w:eastAsia="en-US" w:bidi="en-US"/>
        </w:rPr>
        <w:t>Pi</w:t>
      </w:r>
      <w:r w:rsidRPr="00901F77">
        <w:rPr>
          <w:lang w:eastAsia="en-US" w:bidi="en-US"/>
        </w:rPr>
        <w:t xml:space="preserve"> </w:t>
      </w:r>
      <w:r>
        <w:t xml:space="preserve">+ </w:t>
      </w:r>
      <w:r>
        <w:rPr>
          <w:lang w:val="en-US" w:eastAsia="en-US" w:bidi="en-US"/>
        </w:rPr>
        <w:t>Si</w:t>
      </w:r>
      <w:r w:rsidRPr="00901F77">
        <w:rPr>
          <w:lang w:eastAsia="en-US" w:bidi="en-US"/>
        </w:rPr>
        <w:t xml:space="preserve">), </w:t>
      </w:r>
      <w:r>
        <w:t>где:</w:t>
      </w:r>
    </w:p>
    <w:p w:rsidR="000E508E" w:rsidRDefault="000E092A">
      <w:pPr>
        <w:pStyle w:val="11"/>
        <w:shd w:val="clear" w:color="auto" w:fill="auto"/>
        <w:ind w:firstLine="720"/>
        <w:jc w:val="both"/>
      </w:pPr>
      <w:r>
        <w:rPr>
          <w:lang w:val="en-US" w:eastAsia="en-US" w:bidi="en-US"/>
        </w:rPr>
        <w:t>Ai</w:t>
      </w:r>
      <w:r w:rsidRPr="00901F77">
        <w:rPr>
          <w:lang w:eastAsia="en-US" w:bidi="en-US"/>
        </w:rPr>
        <w:t xml:space="preserve"> </w:t>
      </w:r>
      <w:r>
        <w:t>- численность штатных единиц муниципальных служащих, исполняющих отдельные государственные полномочия Донецкой Народной Р</w:t>
      </w:r>
      <w:r>
        <w:t xml:space="preserve">еспублики по созданию и организации деятельности муниципальных комиссий по делам несовершеннолетних и защите их прав (далее - сотрудники) в </w:t>
      </w:r>
      <w:r>
        <w:rPr>
          <w:lang w:val="en-US" w:eastAsia="en-US" w:bidi="en-US"/>
        </w:rPr>
        <w:t>i</w:t>
      </w:r>
      <w:r>
        <w:t>-том муниципальном образовании, рассчитанная в соответствии с нормативом, предусмотренным частью 7 статьи 10 Закона</w:t>
      </w:r>
      <w:r>
        <w:t xml:space="preserve"> Донецкой Народной Республики «О комиссиях по делам несовершеннолетних и защите их прав в Донецкой Народной Республике»;</w:t>
      </w:r>
    </w:p>
    <w:p w:rsidR="000E508E" w:rsidRDefault="000E092A">
      <w:pPr>
        <w:pStyle w:val="11"/>
        <w:shd w:val="clear" w:color="auto" w:fill="auto"/>
        <w:ind w:firstLine="720"/>
        <w:jc w:val="both"/>
      </w:pPr>
      <w:r>
        <w:rPr>
          <w:lang w:val="en-US" w:eastAsia="en-US" w:bidi="en-US"/>
        </w:rPr>
        <w:t>Pi</w:t>
      </w:r>
      <w:r w:rsidRPr="00901F77">
        <w:rPr>
          <w:lang w:eastAsia="en-US" w:bidi="en-US"/>
        </w:rPr>
        <w:t xml:space="preserve"> </w:t>
      </w:r>
      <w:r>
        <w:t>- расходы на оплату труда одного сотрудника, исчисляемые в соответствии с нормативами формирования расходов на оплату труда муниципа</w:t>
      </w:r>
      <w:r>
        <w:t>льных служащих и (или) содержание органов местного самоуправления муниципальных образований Донецкой Народной Республики, утверждаемых Правительством Донецкой Народной Республики, в расчете на год по должности «главный специалист»;</w:t>
      </w:r>
    </w:p>
    <w:p w:rsidR="000E508E" w:rsidRDefault="000E092A">
      <w:pPr>
        <w:pStyle w:val="11"/>
        <w:shd w:val="clear" w:color="auto" w:fill="auto"/>
        <w:ind w:firstLine="720"/>
        <w:jc w:val="both"/>
      </w:pPr>
      <w:r>
        <w:rPr>
          <w:lang w:val="en-US" w:eastAsia="en-US" w:bidi="en-US"/>
        </w:rPr>
        <w:t>Si</w:t>
      </w:r>
      <w:r w:rsidRPr="00901F77">
        <w:rPr>
          <w:lang w:eastAsia="en-US" w:bidi="en-US"/>
        </w:rPr>
        <w:t xml:space="preserve"> </w:t>
      </w:r>
      <w:r>
        <w:t>- начисления на оплат</w:t>
      </w:r>
      <w:r>
        <w:t>у труда сотрудника, определяемые в соответствии с законодательством.</w:t>
      </w:r>
    </w:p>
    <w:p w:rsidR="00306F8F" w:rsidRDefault="00306F8F">
      <w:pPr>
        <w:pStyle w:val="11"/>
        <w:shd w:val="clear" w:color="auto" w:fill="auto"/>
        <w:ind w:firstLine="720"/>
        <w:jc w:val="both"/>
      </w:pPr>
    </w:p>
    <w:p w:rsidR="00306F8F" w:rsidRDefault="00306F8F">
      <w:pPr>
        <w:pStyle w:val="11"/>
        <w:shd w:val="clear" w:color="auto" w:fill="auto"/>
        <w:ind w:firstLine="720"/>
        <w:jc w:val="both"/>
      </w:pPr>
    </w:p>
    <w:p w:rsidR="00306F8F" w:rsidRDefault="00306F8F">
      <w:pPr>
        <w:pStyle w:val="11"/>
        <w:shd w:val="clear" w:color="auto" w:fill="auto"/>
        <w:ind w:firstLine="720"/>
        <w:jc w:val="both"/>
      </w:pPr>
    </w:p>
    <w:sectPr w:rsidR="00306F8F" w:rsidSect="00306F8F">
      <w:pgSz w:w="11900" w:h="16840"/>
      <w:pgMar w:top="1292" w:right="523" w:bottom="709" w:left="16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2A" w:rsidRDefault="000E092A">
      <w:r>
        <w:separator/>
      </w:r>
    </w:p>
  </w:endnote>
  <w:endnote w:type="continuationSeparator" w:id="0">
    <w:p w:rsidR="000E092A" w:rsidRDefault="000E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2A" w:rsidRDefault="000E092A"/>
  </w:footnote>
  <w:footnote w:type="continuationSeparator" w:id="0">
    <w:p w:rsidR="000E092A" w:rsidRDefault="000E09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11790"/>
    <w:multiLevelType w:val="multilevel"/>
    <w:tmpl w:val="41D01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EE0799"/>
    <w:multiLevelType w:val="multilevel"/>
    <w:tmpl w:val="4828A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8E"/>
    <w:rsid w:val="00086737"/>
    <w:rsid w:val="000E092A"/>
    <w:rsid w:val="000E508E"/>
    <w:rsid w:val="00306F8F"/>
    <w:rsid w:val="00872D06"/>
    <w:rsid w:val="00901F77"/>
    <w:rsid w:val="00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A9C1"/>
  <w15:docId w15:val="{3FB37CE9-FFED-4F85-B45C-33E44D93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4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4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npa.dnronline.su/2023-09-11/480-iins-o-komissiyah-po-delam-nesovershennoletnih-i-zashhite-ih-prav-v-donetskoj-narodnoj-respublik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</dc:creator>
  <cp:lastModifiedBy>VAD</cp:lastModifiedBy>
  <cp:revision>4</cp:revision>
  <cp:lastPrinted>2024-10-10T09:16:00Z</cp:lastPrinted>
  <dcterms:created xsi:type="dcterms:W3CDTF">2024-10-10T08:58:00Z</dcterms:created>
  <dcterms:modified xsi:type="dcterms:W3CDTF">2024-10-10T09:22:00Z</dcterms:modified>
</cp:coreProperties>
</file>