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0C" w:rsidRDefault="004D6385">
      <w:pPr>
        <w:pStyle w:val="20"/>
        <w:shd w:val="clear" w:color="auto" w:fill="auto"/>
      </w:pPr>
      <w:r>
        <w:t>ДОНЕЦКАЯ НАРОДНАЯ РЕСПУБЛИКА</w:t>
      </w:r>
    </w:p>
    <w:p w:rsidR="00CD390C" w:rsidRDefault="004D6385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CD390C" w:rsidRDefault="004D6385">
      <w:pPr>
        <w:pStyle w:val="11"/>
        <w:shd w:val="clear" w:color="auto" w:fill="auto"/>
        <w:spacing w:after="720"/>
        <w:ind w:firstLine="0"/>
        <w:jc w:val="center"/>
      </w:pPr>
      <w:r>
        <w:rPr>
          <w:b/>
          <w:bCs/>
        </w:rPr>
        <w:t>ОБ УСТАНОВЛЕНИИ ДОПОЛНИТЕЛЬНЫХ ОГРАНИЧЕНИЙ</w:t>
      </w:r>
      <w:r>
        <w:rPr>
          <w:b/>
          <w:bCs/>
        </w:rPr>
        <w:br/>
        <w:t>ПОТРЕБЛЕНИЯ НИКОТИНСОДЕРЖАЩЕЙ ПРОДУКЦИИ,</w:t>
      </w:r>
      <w:r>
        <w:rPr>
          <w:b/>
          <w:bCs/>
        </w:rPr>
        <w:br/>
        <w:t>ИСПОЛЬЗОВАНИЯ КАЛЬЯНОВ В ОТДЕЛЬНЫХ ОБЩЕСТВЕННЫХ</w:t>
      </w:r>
      <w:r>
        <w:rPr>
          <w:b/>
          <w:bCs/>
        </w:rPr>
        <w:br/>
        <w:t>МЕСТАХ И В ПОМЕЩЕНИЯХ НА ТЕРРИТОРИИ</w:t>
      </w:r>
      <w:r>
        <w:rPr>
          <w:b/>
          <w:bCs/>
        </w:rPr>
        <w:br/>
        <w:t>ДОНЕЦКОЙ НАРОДНОЙ РЕСПУБЛИКИ</w:t>
      </w:r>
    </w:p>
    <w:p w:rsidR="00CD390C" w:rsidRDefault="004D6385">
      <w:pPr>
        <w:pStyle w:val="11"/>
        <w:shd w:val="clear" w:color="auto" w:fill="auto"/>
        <w:spacing w:after="600"/>
        <w:ind w:firstLine="720"/>
        <w:jc w:val="both"/>
      </w:pPr>
      <w:r>
        <w:rPr>
          <w:b/>
          <w:bCs/>
        </w:rPr>
        <w:t xml:space="preserve">Принят Постановлением </w:t>
      </w:r>
      <w:r>
        <w:rPr>
          <w:b/>
          <w:bCs/>
        </w:rPr>
        <w:t>Народного Совета 27 сентября 2024 года</w:t>
      </w:r>
    </w:p>
    <w:p w:rsidR="00CD390C" w:rsidRDefault="004D6385">
      <w:pPr>
        <w:pStyle w:val="11"/>
        <w:shd w:val="clear" w:color="auto" w:fill="auto"/>
        <w:ind w:firstLine="720"/>
        <w:jc w:val="both"/>
      </w:pPr>
      <w:r>
        <w:t xml:space="preserve">Настоящий Закон в соответствии с частью 6 статьи 12 </w:t>
      </w:r>
      <w:hyperlink r:id="rId7" w:history="1">
        <w:r w:rsidRPr="00CE62B1">
          <w:rPr>
            <w:rStyle w:val="a3"/>
          </w:rPr>
          <w:t>Федерального закона от 23 февраля 2013 года № 15-ФЗ «Об охране здоровья граждан от воздействия окружающего табачного дыма, последствий потребления табака или потребл</w:t>
        </w:r>
        <w:r w:rsidRPr="00CE62B1">
          <w:rPr>
            <w:rStyle w:val="a3"/>
          </w:rPr>
          <w:t>ения никотинсодержащей продукции»</w:t>
        </w:r>
      </w:hyperlink>
      <w:r>
        <w:t xml:space="preserve"> устанавливает дополнительные ограничения потребления никотинсодержащей продукции и использования кальянов в отдельных общественных местах и в помещениях на территории Донецкой Народной Республики.</w:t>
      </w:r>
    </w:p>
    <w:p w:rsidR="00CD390C" w:rsidRDefault="004D6385">
      <w:pPr>
        <w:pStyle w:val="11"/>
        <w:shd w:val="clear" w:color="auto" w:fill="auto"/>
        <w:ind w:firstLine="720"/>
        <w:jc w:val="both"/>
      </w:pPr>
      <w:r>
        <w:t xml:space="preserve">Статья 1. </w:t>
      </w:r>
      <w:r>
        <w:rPr>
          <w:b/>
          <w:bCs/>
        </w:rPr>
        <w:t>Отдельные общес</w:t>
      </w:r>
      <w:r>
        <w:rPr>
          <w:b/>
          <w:bCs/>
        </w:rPr>
        <w:t>твенные места и помещения на территории Донецкой Народной Республики, в которых потребление никотинсодержащей продукции и использование кальянов запрещено</w:t>
      </w:r>
    </w:p>
    <w:p w:rsidR="00CD390C" w:rsidRDefault="004D6385">
      <w:pPr>
        <w:pStyle w:val="11"/>
        <w:shd w:val="clear" w:color="auto" w:fill="auto"/>
        <w:ind w:firstLine="720"/>
        <w:jc w:val="both"/>
      </w:pPr>
      <w:r>
        <w:t>На территории Донецкой Народной Республики не допускается потребление никотинсодержащей продукции и и</w:t>
      </w:r>
      <w:r>
        <w:t>спользование кальянов в следующих общественных местах и в помещениях:</w:t>
      </w:r>
    </w:p>
    <w:p w:rsidR="00CD390C" w:rsidRDefault="00CE62B1" w:rsidP="00CE62B1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CE62B1">
        <w:t xml:space="preserve">1) </w:t>
      </w:r>
      <w:r w:rsidR="004D6385">
        <w:t>в местах на открытом воздухе на расстоянии менее пятнадцати метров от входов в помещения, занимаемые государственными органами, органами местного самоуправления;</w:t>
      </w:r>
    </w:p>
    <w:p w:rsidR="00CD390C" w:rsidRDefault="00CE62B1" w:rsidP="00CE62B1">
      <w:pPr>
        <w:pStyle w:val="11"/>
        <w:shd w:val="clear" w:color="auto" w:fill="auto"/>
        <w:tabs>
          <w:tab w:val="left" w:pos="1076"/>
        </w:tabs>
        <w:ind w:firstLine="0"/>
        <w:jc w:val="both"/>
      </w:pPr>
      <w:r w:rsidRPr="00CE62B1">
        <w:t xml:space="preserve">2) </w:t>
      </w:r>
      <w:r w:rsidR="004D6385">
        <w:t>в местах на открытом воз</w:t>
      </w:r>
      <w:r w:rsidR="004D6385">
        <w:t xml:space="preserve">духе на расстоянии менее пятнадцати метров от входов в помещения, предназначенные для предоставления бытовых услуг, услуг </w:t>
      </w:r>
      <w:r w:rsidR="004D6385">
        <w:lastRenderedPageBreak/>
        <w:t>торговли, общественного питания, помещения рынков, а также от размещенных нестационарных торговых объектов;</w:t>
      </w:r>
    </w:p>
    <w:p w:rsidR="00CD390C" w:rsidRDefault="00CE62B1" w:rsidP="00CE62B1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CE62B1">
        <w:t xml:space="preserve">3) </w:t>
      </w:r>
      <w:r w:rsidR="004D6385">
        <w:t>в местах на открытом возду</w:t>
      </w:r>
      <w:r w:rsidR="004D6385">
        <w:t>хе на расстоянии менее пятнадцати метров от входов в помещения, предназначенные для предоставления гостиничных услуг, услуг по временному размещению и (или) обеспечению временного проживания;</w:t>
      </w:r>
    </w:p>
    <w:p w:rsidR="00CD390C" w:rsidRDefault="00CE62B1" w:rsidP="00CE62B1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CE62B1">
        <w:t xml:space="preserve">4) </w:t>
      </w:r>
      <w:r w:rsidR="004D6385">
        <w:t xml:space="preserve">в местах на открытом воздухе на расстоянии менее пятнадцати </w:t>
      </w:r>
      <w:r w:rsidR="004D6385">
        <w:t>метров от входов в помещения социальных служб;</w:t>
      </w:r>
    </w:p>
    <w:p w:rsidR="00CD390C" w:rsidRDefault="00CE62B1" w:rsidP="00CE62B1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CE62B1">
        <w:t xml:space="preserve">5) </w:t>
      </w:r>
      <w:r w:rsidR="004D6385">
        <w:t>в местах на открытом воздухе на остановочных пунктах всех видов общественного транспорта (транспорта общего пользования) городского и пригородного сообщения, а также на расстоянии менее пятнадцати метров от ни</w:t>
      </w:r>
      <w:r w:rsidR="004D6385">
        <w:t>х;</w:t>
      </w:r>
    </w:p>
    <w:p w:rsidR="00CD390C" w:rsidRDefault="00CE62B1" w:rsidP="00CE62B1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CE62B1">
        <w:t xml:space="preserve">6) </w:t>
      </w:r>
      <w:r w:rsidR="004D6385">
        <w:t>в местах на открытом воздухе на расстоянии менее десяти метров от входа в подъезды многоквартирных домов и пяти метров от внешней границы стены многоквартирного дома;</w:t>
      </w:r>
    </w:p>
    <w:p w:rsidR="00CD390C" w:rsidRDefault="00CE62B1" w:rsidP="00CE62B1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CE62B1">
        <w:t xml:space="preserve">7) </w:t>
      </w:r>
      <w:r w:rsidR="004D6385">
        <w:t>в помещениях нежилых зданий, расположенных на дворовых территориях многоквартирных дом</w:t>
      </w:r>
      <w:r w:rsidR="004D6385">
        <w:t>ов;</w:t>
      </w:r>
    </w:p>
    <w:p w:rsidR="00CD390C" w:rsidRDefault="00CE62B1" w:rsidP="00CE62B1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CE62B1">
        <w:t xml:space="preserve">8) </w:t>
      </w:r>
      <w:r w:rsidR="004D6385">
        <w:t>на парковках, в подземных и надземных пешеходных переходах, в подземных парковках и подземных гаражах;</w:t>
      </w:r>
    </w:p>
    <w:p w:rsidR="00CD390C" w:rsidRDefault="00CE62B1" w:rsidP="00CE62B1">
      <w:pPr>
        <w:pStyle w:val="11"/>
        <w:shd w:val="clear" w:color="auto" w:fill="auto"/>
        <w:tabs>
          <w:tab w:val="left" w:pos="1071"/>
        </w:tabs>
        <w:ind w:firstLine="0"/>
        <w:jc w:val="both"/>
        <w:sectPr w:rsidR="00CD390C">
          <w:pgSz w:w="11900" w:h="16840"/>
          <w:pgMar w:top="1134" w:right="521" w:bottom="2128" w:left="1654" w:header="0" w:footer="3" w:gutter="0"/>
          <w:cols w:space="720"/>
          <w:noEndnote/>
          <w:docGrid w:linePitch="360"/>
        </w:sectPr>
      </w:pPr>
      <w:r w:rsidRPr="00CE62B1">
        <w:t xml:space="preserve">9) </w:t>
      </w:r>
      <w:r w:rsidR="004D6385">
        <w:t>на территориях парков, скверов, бульваров, площадей и набережных, а также в границах территорий рекреационного назначения, использ</w:t>
      </w:r>
      <w:r w:rsidR="004D6385">
        <w:t>уемых и предназначенных для отдыха, туризма, занятий физической культурой и спортом (за исключением специально выделенных мест).</w:t>
      </w:r>
    </w:p>
    <w:p w:rsidR="00CD390C" w:rsidRDefault="004D6385">
      <w:pPr>
        <w:pStyle w:val="11"/>
        <w:shd w:val="clear" w:color="auto" w:fill="auto"/>
        <w:ind w:firstLine="720"/>
        <w:jc w:val="both"/>
      </w:pPr>
      <w:r>
        <w:lastRenderedPageBreak/>
        <w:t xml:space="preserve">Статья 2. </w:t>
      </w:r>
      <w:r>
        <w:rPr>
          <w:b/>
          <w:bCs/>
        </w:rPr>
        <w:t>Ответственность за нарушение настоящего Закона</w:t>
      </w:r>
    </w:p>
    <w:p w:rsidR="00CD390C" w:rsidRDefault="004D6385">
      <w:pPr>
        <w:pStyle w:val="11"/>
        <w:shd w:val="clear" w:color="auto" w:fill="auto"/>
        <w:ind w:firstLine="720"/>
        <w:jc w:val="both"/>
      </w:pPr>
      <w:r>
        <w:t>Лица, виновные в нарушении дополнительных ограничений потребления нико</w:t>
      </w:r>
      <w:r>
        <w:t xml:space="preserve">тинсодержащей продукции и использования кальянов в отдельных общественных местах и в помещениях на территории Донецкой Народной Республики, установленных статьей 1 настоящего Закона, несут административную ответственность в соответствии с Законом Донецкой </w:t>
      </w:r>
      <w:r>
        <w:t>Народной Республики от 12 июля 2024 года № 91-РЗ «Об административных правонарушениях в Донецкой Народной Республике».</w:t>
      </w:r>
    </w:p>
    <w:p w:rsidR="00CD390C" w:rsidRDefault="004D6385">
      <w:pPr>
        <w:pStyle w:val="11"/>
        <w:shd w:val="clear" w:color="auto" w:fill="auto"/>
        <w:ind w:firstLine="720"/>
        <w:jc w:val="both"/>
      </w:pPr>
      <w:r>
        <w:t xml:space="preserve">Статья 3. </w:t>
      </w:r>
      <w:r>
        <w:rPr>
          <w:b/>
          <w:bCs/>
        </w:rPr>
        <w:t>Вступление в силу настоящего Закона</w:t>
      </w:r>
    </w:p>
    <w:p w:rsidR="00CD390C" w:rsidRDefault="004D6385">
      <w:pPr>
        <w:pStyle w:val="11"/>
        <w:shd w:val="clear" w:color="auto" w:fill="auto"/>
        <w:spacing w:after="1340"/>
        <w:ind w:firstLine="72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CD390C" w:rsidRDefault="004D6385">
      <w:pPr>
        <w:pStyle w:val="11"/>
        <w:shd w:val="clear" w:color="auto" w:fill="auto"/>
        <w:spacing w:after="0" w:line="240" w:lineRule="auto"/>
        <w:ind w:firstLine="0"/>
        <w:jc w:val="both"/>
      </w:pPr>
      <w:r>
        <w:t>Глава</w:t>
      </w:r>
    </w:p>
    <w:p w:rsidR="00CE62B1" w:rsidRDefault="004D6385" w:rsidP="00CE62B1">
      <w:pPr>
        <w:pStyle w:val="1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CE62B1" w:rsidRPr="00CE62B1">
        <w:t xml:space="preserve">                                       </w:t>
      </w:r>
      <w:r w:rsidR="00CE62B1">
        <w:t>Д.В. Пушилин</w:t>
      </w:r>
    </w:p>
    <w:p w:rsidR="00CD390C" w:rsidRDefault="00CD390C">
      <w:pPr>
        <w:pStyle w:val="11"/>
        <w:shd w:val="clear" w:color="auto" w:fill="auto"/>
        <w:spacing w:after="0" w:line="334" w:lineRule="auto"/>
        <w:ind w:firstLine="0"/>
        <w:jc w:val="both"/>
      </w:pPr>
    </w:p>
    <w:p w:rsidR="00CD390C" w:rsidRDefault="004D6385">
      <w:pPr>
        <w:pStyle w:val="11"/>
        <w:shd w:val="clear" w:color="auto" w:fill="auto"/>
        <w:spacing w:after="0" w:line="334" w:lineRule="auto"/>
        <w:ind w:firstLine="0"/>
        <w:jc w:val="both"/>
      </w:pPr>
      <w:r>
        <w:t>08 октября 2024 года</w:t>
      </w:r>
    </w:p>
    <w:p w:rsidR="00CD390C" w:rsidRDefault="004D6385">
      <w:pPr>
        <w:pStyle w:val="11"/>
        <w:shd w:val="clear" w:color="auto" w:fill="auto"/>
        <w:spacing w:line="334" w:lineRule="auto"/>
        <w:ind w:firstLine="0"/>
        <w:jc w:val="both"/>
      </w:pPr>
      <w:r>
        <w:t>№ 117-РЗ</w:t>
      </w:r>
    </w:p>
    <w:p w:rsidR="00CE62B1" w:rsidRDefault="00CE62B1">
      <w:pPr>
        <w:pStyle w:val="11"/>
        <w:shd w:val="clear" w:color="auto" w:fill="auto"/>
        <w:spacing w:line="334" w:lineRule="auto"/>
        <w:ind w:firstLine="0"/>
        <w:jc w:val="both"/>
      </w:pPr>
    </w:p>
    <w:p w:rsidR="00CE62B1" w:rsidRDefault="00CE62B1">
      <w:pPr>
        <w:pStyle w:val="11"/>
        <w:shd w:val="clear" w:color="auto" w:fill="auto"/>
        <w:spacing w:line="334" w:lineRule="auto"/>
        <w:ind w:firstLine="0"/>
        <w:jc w:val="both"/>
      </w:pPr>
    </w:p>
    <w:p w:rsidR="00CE62B1" w:rsidRDefault="00CE62B1">
      <w:pPr>
        <w:pStyle w:val="11"/>
        <w:shd w:val="clear" w:color="auto" w:fill="auto"/>
        <w:spacing w:line="334" w:lineRule="auto"/>
        <w:ind w:firstLine="0"/>
        <w:jc w:val="both"/>
      </w:pPr>
      <w:bookmarkStart w:id="2" w:name="_GoBack"/>
      <w:bookmarkEnd w:id="2"/>
    </w:p>
    <w:sectPr w:rsidR="00CE62B1">
      <w:pgSz w:w="11900" w:h="16840"/>
      <w:pgMar w:top="1239" w:right="516" w:bottom="1239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85" w:rsidRDefault="004D6385">
      <w:r>
        <w:separator/>
      </w:r>
    </w:p>
  </w:endnote>
  <w:endnote w:type="continuationSeparator" w:id="0">
    <w:p w:rsidR="004D6385" w:rsidRDefault="004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85" w:rsidRDefault="004D6385"/>
  </w:footnote>
  <w:footnote w:type="continuationSeparator" w:id="0">
    <w:p w:rsidR="004D6385" w:rsidRDefault="004D6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C90"/>
    <w:multiLevelType w:val="multilevel"/>
    <w:tmpl w:val="3CEC8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0C"/>
    <w:rsid w:val="004D6385"/>
    <w:rsid w:val="0074652F"/>
    <w:rsid w:val="00CD390C"/>
    <w:rsid w:val="00C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C1F7"/>
  <w15:docId w15:val="{E607D7EF-AAB8-4BF4-BAFC-6E2FE657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36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2024-10-10T13:48:00Z</dcterms:created>
  <dcterms:modified xsi:type="dcterms:W3CDTF">2024-10-10T13:52:00Z</dcterms:modified>
</cp:coreProperties>
</file>